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1D" w:rsidRDefault="00032B1D" w:rsidP="00032B1D">
      <w:pPr>
        <w:spacing w:line="225" w:lineRule="atLeast"/>
        <w:textAlignment w:val="baseline"/>
        <w:rPr>
          <w:rFonts w:asciiTheme="minorHAnsi" w:eastAsia="Times New Roman" w:hAnsiTheme="minorHAnsi"/>
          <w:b/>
          <w:kern w:val="0"/>
          <w:sz w:val="28"/>
          <w:szCs w:val="28"/>
          <w:lang w:eastAsia="fr-FR"/>
        </w:rPr>
      </w:pPr>
      <w:bookmarkStart w:id="0" w:name="_GoBack"/>
      <w:bookmarkEnd w:id="0"/>
      <w:r w:rsidRPr="00032B1D">
        <w:rPr>
          <w:rFonts w:asciiTheme="minorHAnsi" w:eastAsia="Times New Roman" w:hAnsiTheme="minorHAnsi"/>
          <w:b/>
          <w:kern w:val="0"/>
          <w:sz w:val="28"/>
          <w:szCs w:val="28"/>
          <w:lang w:eastAsia="fr-FR"/>
        </w:rPr>
        <w:t>Proposition de communication</w:t>
      </w:r>
    </w:p>
    <w:p w:rsidR="00032B1D" w:rsidRDefault="00032B1D" w:rsidP="006C174B">
      <w:pPr>
        <w:spacing w:line="225" w:lineRule="atLeast"/>
        <w:ind w:right="567"/>
        <w:textAlignment w:val="baseline"/>
        <w:rPr>
          <w:rFonts w:asciiTheme="minorHAnsi" w:eastAsia="Times New Roman" w:hAnsiTheme="minorHAnsi"/>
          <w:b/>
          <w:kern w:val="0"/>
          <w:sz w:val="36"/>
          <w:szCs w:val="36"/>
          <w:lang w:eastAsia="fr-FR"/>
        </w:rPr>
      </w:pPr>
    </w:p>
    <w:p w:rsidR="006C174B" w:rsidRPr="00E67AAE" w:rsidRDefault="006C174B" w:rsidP="006C174B">
      <w:pPr>
        <w:spacing w:line="225" w:lineRule="atLeast"/>
        <w:ind w:right="567"/>
        <w:textAlignment w:val="baseline"/>
        <w:rPr>
          <w:rFonts w:asciiTheme="minorHAnsi" w:eastAsia="Times New Roman" w:hAnsiTheme="minorHAnsi"/>
          <w:kern w:val="0"/>
          <w:sz w:val="36"/>
          <w:szCs w:val="36"/>
          <w:lang w:eastAsia="fr-FR"/>
        </w:rPr>
      </w:pPr>
      <w:r w:rsidRPr="006C174B">
        <w:rPr>
          <w:rFonts w:asciiTheme="minorHAnsi" w:eastAsia="Times New Roman" w:hAnsiTheme="minorHAnsi"/>
          <w:b/>
          <w:kern w:val="0"/>
          <w:sz w:val="36"/>
          <w:szCs w:val="36"/>
          <w:lang w:eastAsia="fr-FR"/>
        </w:rPr>
        <w:t>L</w:t>
      </w:r>
      <w:r w:rsidR="00B1369B">
        <w:rPr>
          <w:rFonts w:asciiTheme="minorHAnsi" w:eastAsia="Times New Roman" w:hAnsiTheme="minorHAnsi"/>
          <w:b/>
          <w:kern w:val="0"/>
          <w:sz w:val="36"/>
          <w:szCs w:val="36"/>
          <w:lang w:eastAsia="fr-FR"/>
        </w:rPr>
        <w:t>a présence de la République populaire de Chine d</w:t>
      </w:r>
      <w:r w:rsidRPr="006C174B">
        <w:rPr>
          <w:rFonts w:asciiTheme="minorHAnsi" w:eastAsia="Times New Roman" w:hAnsiTheme="minorHAnsi"/>
          <w:b/>
          <w:kern w:val="0"/>
          <w:sz w:val="36"/>
          <w:szCs w:val="36"/>
          <w:lang w:eastAsia="fr-FR"/>
        </w:rPr>
        <w:t xml:space="preserve">ans la Caraïbe insulaire: </w:t>
      </w:r>
      <w:r w:rsidR="00B1369B" w:rsidRPr="00E67AAE">
        <w:rPr>
          <w:rFonts w:asciiTheme="minorHAnsi" w:eastAsia="Times New Roman" w:hAnsiTheme="minorHAnsi"/>
          <w:kern w:val="0"/>
          <w:sz w:val="36"/>
          <w:szCs w:val="36"/>
          <w:lang w:eastAsia="fr-FR"/>
        </w:rPr>
        <w:t>enjeux géopolitiques et géostratégiques</w:t>
      </w:r>
    </w:p>
    <w:p w:rsidR="006C174B" w:rsidRPr="006C174B" w:rsidRDefault="006C174B" w:rsidP="006C174B">
      <w:pPr>
        <w:spacing w:after="0" w:line="240" w:lineRule="auto"/>
        <w:ind w:right="567"/>
        <w:textAlignment w:val="baseline"/>
        <w:rPr>
          <w:rFonts w:asciiTheme="minorHAnsi" w:eastAsia="Times New Roman" w:hAnsiTheme="minorHAnsi"/>
          <w:kern w:val="0"/>
          <w:sz w:val="28"/>
          <w:szCs w:val="28"/>
          <w:lang w:eastAsia="fr-FR"/>
        </w:rPr>
      </w:pPr>
    </w:p>
    <w:p w:rsidR="006C174B" w:rsidRPr="006879D1" w:rsidRDefault="006C174B" w:rsidP="006C174B">
      <w:pPr>
        <w:spacing w:after="0" w:line="240" w:lineRule="auto"/>
        <w:ind w:right="567"/>
        <w:textAlignment w:val="baseline"/>
        <w:rPr>
          <w:rFonts w:asciiTheme="minorHAnsi" w:eastAsia="Times New Roman" w:hAnsiTheme="minorHAnsi"/>
          <w:kern w:val="0"/>
          <w:sz w:val="24"/>
          <w:szCs w:val="24"/>
          <w:lang w:eastAsia="fr-FR"/>
        </w:rPr>
      </w:pPr>
      <w:r w:rsidRPr="006879D1">
        <w:rPr>
          <w:rFonts w:asciiTheme="minorHAnsi" w:eastAsia="Times New Roman" w:hAnsiTheme="minorHAnsi"/>
          <w:kern w:val="0"/>
          <w:sz w:val="24"/>
          <w:szCs w:val="24"/>
          <w:lang w:eastAsia="fr-FR"/>
        </w:rPr>
        <w:t>Eric DUBESSET</w:t>
      </w:r>
    </w:p>
    <w:p w:rsidR="006C174B" w:rsidRDefault="006C174B" w:rsidP="006C174B">
      <w:pPr>
        <w:spacing w:after="0" w:line="240" w:lineRule="auto"/>
        <w:ind w:right="567"/>
        <w:textAlignment w:val="baseline"/>
        <w:rPr>
          <w:rFonts w:asciiTheme="minorHAnsi" w:eastAsia="Times New Roman" w:hAnsiTheme="minorHAnsi"/>
          <w:kern w:val="0"/>
          <w:sz w:val="24"/>
          <w:szCs w:val="24"/>
          <w:lang w:eastAsia="fr-FR"/>
        </w:rPr>
      </w:pPr>
      <w:r w:rsidRPr="006879D1">
        <w:rPr>
          <w:rFonts w:asciiTheme="minorHAnsi" w:eastAsia="Times New Roman" w:hAnsiTheme="minorHAnsi"/>
          <w:kern w:val="0"/>
          <w:sz w:val="24"/>
          <w:szCs w:val="24"/>
          <w:lang w:eastAsia="fr-FR"/>
        </w:rPr>
        <w:t>Centre Montesquieu de Recherches Politiques (CMRP)</w:t>
      </w:r>
    </w:p>
    <w:p w:rsidR="006C174B" w:rsidRDefault="006C174B" w:rsidP="006C174B">
      <w:pPr>
        <w:spacing w:after="0" w:line="240" w:lineRule="auto"/>
        <w:ind w:right="567"/>
        <w:textAlignment w:val="baseline"/>
        <w:rPr>
          <w:rFonts w:asciiTheme="minorHAnsi" w:eastAsia="Times New Roman" w:hAnsiTheme="minorHAnsi"/>
          <w:kern w:val="0"/>
          <w:sz w:val="24"/>
          <w:szCs w:val="24"/>
          <w:lang w:eastAsia="fr-FR"/>
        </w:rPr>
      </w:pPr>
      <w:r>
        <w:rPr>
          <w:rFonts w:asciiTheme="minorHAnsi" w:eastAsia="Times New Roman" w:hAnsiTheme="minorHAnsi"/>
          <w:kern w:val="0"/>
          <w:sz w:val="24"/>
          <w:szCs w:val="24"/>
          <w:lang w:eastAsia="fr-FR"/>
        </w:rPr>
        <w:t>Référent local de l’</w:t>
      </w:r>
      <w:r w:rsidRPr="006879D1">
        <w:rPr>
          <w:rFonts w:asciiTheme="minorHAnsi" w:eastAsia="Times New Roman" w:hAnsiTheme="minorHAnsi"/>
          <w:kern w:val="0"/>
          <w:sz w:val="24"/>
          <w:szCs w:val="24"/>
          <w:lang w:eastAsia="fr-FR"/>
        </w:rPr>
        <w:t>Institut des Amériques (IdA)</w:t>
      </w:r>
    </w:p>
    <w:p w:rsidR="006C174B" w:rsidRPr="006879D1" w:rsidRDefault="006C174B" w:rsidP="006C174B">
      <w:pPr>
        <w:spacing w:after="0" w:line="240" w:lineRule="auto"/>
        <w:ind w:right="567"/>
        <w:textAlignment w:val="baseline"/>
        <w:rPr>
          <w:rFonts w:asciiTheme="minorHAnsi" w:eastAsia="Times New Roman" w:hAnsiTheme="minorHAnsi"/>
          <w:kern w:val="0"/>
          <w:sz w:val="24"/>
          <w:szCs w:val="24"/>
          <w:lang w:eastAsia="fr-FR"/>
        </w:rPr>
      </w:pPr>
      <w:r w:rsidRPr="006879D1">
        <w:rPr>
          <w:rFonts w:asciiTheme="minorHAnsi" w:eastAsia="Times New Roman" w:hAnsiTheme="minorHAnsi"/>
          <w:kern w:val="0"/>
          <w:sz w:val="24"/>
          <w:szCs w:val="24"/>
          <w:lang w:eastAsia="fr-FR"/>
        </w:rPr>
        <w:t>Université de Bordeaux</w:t>
      </w:r>
    </w:p>
    <w:p w:rsidR="006C174B" w:rsidRDefault="000C5511" w:rsidP="006C174B">
      <w:pPr>
        <w:spacing w:after="0" w:line="240" w:lineRule="auto"/>
        <w:ind w:right="567"/>
        <w:textAlignment w:val="baseline"/>
        <w:rPr>
          <w:rFonts w:asciiTheme="minorHAnsi" w:eastAsia="Times New Roman" w:hAnsiTheme="minorHAnsi"/>
          <w:kern w:val="0"/>
          <w:sz w:val="24"/>
          <w:szCs w:val="24"/>
          <w:lang w:eastAsia="fr-FR"/>
        </w:rPr>
      </w:pPr>
      <w:hyperlink r:id="rId7" w:history="1">
        <w:r w:rsidR="00032B1D" w:rsidRPr="000D24C8">
          <w:rPr>
            <w:rStyle w:val="Lienhypertexte"/>
            <w:rFonts w:asciiTheme="minorHAnsi" w:eastAsia="Times New Roman" w:hAnsiTheme="minorHAnsi"/>
            <w:kern w:val="0"/>
            <w:sz w:val="24"/>
            <w:szCs w:val="24"/>
            <w:lang w:eastAsia="fr-FR"/>
          </w:rPr>
          <w:t>eric.dubesset-pascual@u-bordeaux.fr</w:t>
        </w:r>
      </w:hyperlink>
    </w:p>
    <w:p w:rsidR="00032B1D" w:rsidRPr="006879D1" w:rsidRDefault="00032B1D" w:rsidP="006C174B">
      <w:pPr>
        <w:spacing w:after="0" w:line="240" w:lineRule="auto"/>
        <w:ind w:right="567"/>
        <w:textAlignment w:val="baseline"/>
        <w:rPr>
          <w:rFonts w:asciiTheme="minorHAnsi" w:eastAsia="Times New Roman" w:hAnsiTheme="minorHAnsi"/>
          <w:kern w:val="0"/>
          <w:sz w:val="24"/>
          <w:szCs w:val="24"/>
          <w:lang w:eastAsia="fr-FR"/>
        </w:rPr>
      </w:pPr>
    </w:p>
    <w:p w:rsidR="006C174B" w:rsidRPr="00966A4C" w:rsidRDefault="006C174B" w:rsidP="006C174B">
      <w:pPr>
        <w:spacing w:line="225" w:lineRule="atLeast"/>
        <w:ind w:right="567"/>
        <w:textAlignment w:val="baseline"/>
        <w:rPr>
          <w:rFonts w:asciiTheme="minorHAnsi" w:eastAsia="Times New Roman" w:hAnsiTheme="minorHAnsi"/>
          <w:b/>
          <w:kern w:val="0"/>
          <w:sz w:val="24"/>
          <w:szCs w:val="24"/>
          <w:lang w:eastAsia="fr-FR"/>
        </w:rPr>
      </w:pPr>
    </w:p>
    <w:p w:rsidR="008A623A" w:rsidRPr="00571A9F" w:rsidRDefault="005D5A6F" w:rsidP="00571A9F">
      <w:pPr>
        <w:spacing w:line="360" w:lineRule="auto"/>
        <w:textAlignment w:val="baseline"/>
        <w:rPr>
          <w:rFonts w:ascii="Cambria" w:eastAsia="Times New Roman" w:hAnsi="Cambria"/>
          <w:kern w:val="0"/>
          <w:sz w:val="24"/>
          <w:szCs w:val="24"/>
          <w:lang w:eastAsia="fr-FR"/>
        </w:rPr>
      </w:pPr>
      <w:r w:rsidRPr="00571A9F">
        <w:rPr>
          <w:rFonts w:ascii="Cambria" w:eastAsia="Times New Roman" w:hAnsi="Cambria"/>
          <w:kern w:val="0"/>
          <w:sz w:val="24"/>
          <w:szCs w:val="24"/>
          <w:lang w:eastAsia="fr-FR"/>
        </w:rPr>
        <w:t xml:space="preserve">Dans le prolongement </w:t>
      </w:r>
      <w:r w:rsidR="001005FD" w:rsidRPr="00571A9F">
        <w:rPr>
          <w:rFonts w:ascii="Cambria" w:eastAsia="Times New Roman" w:hAnsi="Cambria"/>
          <w:kern w:val="0"/>
          <w:sz w:val="24"/>
          <w:szCs w:val="24"/>
          <w:lang w:eastAsia="fr-FR"/>
        </w:rPr>
        <w:t>d</w:t>
      </w:r>
      <w:r w:rsidRPr="00571A9F">
        <w:rPr>
          <w:rFonts w:ascii="Cambria" w:eastAsia="Times New Roman" w:hAnsi="Cambria"/>
          <w:kern w:val="0"/>
          <w:sz w:val="24"/>
          <w:szCs w:val="24"/>
          <w:lang w:eastAsia="fr-FR"/>
        </w:rPr>
        <w:t>e l’é</w:t>
      </w:r>
      <w:r w:rsidR="001005FD" w:rsidRPr="00571A9F">
        <w:rPr>
          <w:rFonts w:ascii="Cambria" w:eastAsia="Times New Roman" w:hAnsi="Cambria"/>
          <w:kern w:val="0"/>
          <w:sz w:val="24"/>
          <w:szCs w:val="24"/>
          <w:lang w:eastAsia="fr-FR"/>
        </w:rPr>
        <w:t xml:space="preserve">tude </w:t>
      </w:r>
      <w:r w:rsidRPr="00571A9F">
        <w:rPr>
          <w:rFonts w:ascii="Cambria" w:eastAsia="Times New Roman" w:hAnsi="Cambria"/>
          <w:kern w:val="0"/>
          <w:sz w:val="24"/>
          <w:szCs w:val="24"/>
          <w:lang w:eastAsia="fr-FR"/>
        </w:rPr>
        <w:t xml:space="preserve">économique </w:t>
      </w:r>
      <w:r w:rsidR="001005FD" w:rsidRPr="00571A9F">
        <w:rPr>
          <w:rFonts w:ascii="Cambria" w:eastAsia="Times New Roman" w:hAnsi="Cambria"/>
          <w:kern w:val="0"/>
          <w:sz w:val="24"/>
          <w:szCs w:val="24"/>
          <w:lang w:eastAsia="fr-FR"/>
        </w:rPr>
        <w:t xml:space="preserve">sur </w:t>
      </w:r>
      <w:r w:rsidR="00A214AD" w:rsidRPr="00571A9F">
        <w:rPr>
          <w:rFonts w:ascii="Cambria" w:eastAsia="Times New Roman" w:hAnsi="Cambria"/>
          <w:kern w:val="0"/>
          <w:sz w:val="24"/>
          <w:szCs w:val="24"/>
          <w:lang w:eastAsia="fr-FR"/>
        </w:rPr>
        <w:t>« </w:t>
      </w:r>
      <w:r w:rsidR="001005FD" w:rsidRPr="00571A9F">
        <w:rPr>
          <w:rFonts w:ascii="Cambria" w:eastAsia="Times New Roman" w:hAnsi="Cambria"/>
          <w:kern w:val="0"/>
          <w:sz w:val="24"/>
          <w:szCs w:val="24"/>
          <w:lang w:eastAsia="fr-FR"/>
        </w:rPr>
        <w:t>la présence de la Chine dans la Caraïbe</w:t>
      </w:r>
      <w:r w:rsidR="00A214AD" w:rsidRPr="00571A9F">
        <w:rPr>
          <w:rFonts w:ascii="Cambria" w:eastAsia="Times New Roman" w:hAnsi="Cambria"/>
          <w:kern w:val="0"/>
          <w:sz w:val="24"/>
          <w:szCs w:val="24"/>
          <w:lang w:eastAsia="fr-FR"/>
        </w:rPr>
        <w:t> »</w:t>
      </w:r>
      <w:r w:rsidR="001005FD" w:rsidRPr="00571A9F">
        <w:rPr>
          <w:rFonts w:ascii="Cambria" w:eastAsia="Times New Roman" w:hAnsi="Cambria"/>
          <w:kern w:val="0"/>
          <w:sz w:val="24"/>
          <w:szCs w:val="24"/>
          <w:lang w:eastAsia="fr-FR"/>
        </w:rPr>
        <w:t xml:space="preserve"> que nous avons coordonnée</w:t>
      </w:r>
      <w:r w:rsidRPr="00571A9F">
        <w:rPr>
          <w:rFonts w:ascii="Cambria" w:eastAsia="Times New Roman" w:hAnsi="Cambria"/>
          <w:kern w:val="0"/>
          <w:sz w:val="24"/>
          <w:szCs w:val="24"/>
          <w:lang w:eastAsia="fr-FR"/>
        </w:rPr>
        <w:t>,</w:t>
      </w:r>
      <w:r w:rsidR="001005FD" w:rsidRPr="00571A9F">
        <w:rPr>
          <w:rFonts w:ascii="Cambria" w:eastAsia="Times New Roman" w:hAnsi="Cambria"/>
          <w:kern w:val="0"/>
          <w:sz w:val="24"/>
          <w:szCs w:val="24"/>
          <w:lang w:eastAsia="fr-FR"/>
        </w:rPr>
        <w:t xml:space="preserve"> </w:t>
      </w:r>
      <w:r w:rsidRPr="00571A9F">
        <w:rPr>
          <w:rFonts w:ascii="Cambria" w:eastAsia="Times New Roman" w:hAnsi="Cambria"/>
          <w:kern w:val="0"/>
          <w:sz w:val="24"/>
          <w:szCs w:val="24"/>
          <w:lang w:eastAsia="fr-FR"/>
        </w:rPr>
        <w:t xml:space="preserve">avec Carlos Quenan et Victor Sukup, et publiée en 2014 dans la collection « Document de travail » de l’Agence Française de Développement (AFD) dans le cadre d’un partenariat conclu avec l’Institut des Amériques (IdA), cette nouvelle recherche privilégie </w:t>
      </w:r>
      <w:r w:rsidR="00B1369B" w:rsidRPr="00571A9F">
        <w:rPr>
          <w:rFonts w:ascii="Cambria" w:eastAsia="Times New Roman" w:hAnsi="Cambria"/>
          <w:kern w:val="0"/>
          <w:sz w:val="24"/>
          <w:szCs w:val="24"/>
          <w:lang w:eastAsia="fr-FR"/>
        </w:rPr>
        <w:t xml:space="preserve">l’étude des enjeux géopolitiques et </w:t>
      </w:r>
      <w:r w:rsidR="00E67AAE" w:rsidRPr="00571A9F">
        <w:rPr>
          <w:rFonts w:ascii="Cambria" w:eastAsia="Times New Roman" w:hAnsi="Cambria"/>
          <w:kern w:val="0"/>
          <w:sz w:val="24"/>
          <w:szCs w:val="24"/>
          <w:lang w:eastAsia="fr-FR"/>
        </w:rPr>
        <w:t xml:space="preserve">géostratégiques </w:t>
      </w:r>
      <w:r w:rsidRPr="00571A9F">
        <w:rPr>
          <w:rFonts w:ascii="Cambria" w:eastAsia="Times New Roman" w:hAnsi="Cambria"/>
          <w:kern w:val="0"/>
          <w:sz w:val="24"/>
          <w:szCs w:val="24"/>
          <w:lang w:eastAsia="fr-FR"/>
        </w:rPr>
        <w:t xml:space="preserve">de </w:t>
      </w:r>
      <w:r w:rsidR="00A214AD" w:rsidRPr="00571A9F">
        <w:rPr>
          <w:rFonts w:ascii="Cambria" w:eastAsia="Times New Roman" w:hAnsi="Cambria"/>
          <w:kern w:val="0"/>
          <w:sz w:val="24"/>
          <w:szCs w:val="24"/>
          <w:lang w:eastAsia="fr-FR"/>
        </w:rPr>
        <w:t>l’implantation chinoise dans la région.</w:t>
      </w:r>
      <w:r w:rsidR="00E67AAE" w:rsidRPr="00571A9F">
        <w:rPr>
          <w:rFonts w:ascii="Cambria" w:eastAsia="Times New Roman" w:hAnsi="Cambria"/>
          <w:kern w:val="0"/>
          <w:sz w:val="24"/>
          <w:szCs w:val="24"/>
          <w:lang w:eastAsia="fr-FR"/>
        </w:rPr>
        <w:t xml:space="preserve"> </w:t>
      </w:r>
      <w:r w:rsidR="006C174B" w:rsidRPr="00571A9F">
        <w:rPr>
          <w:rFonts w:ascii="Cambria" w:eastAsia="Times New Roman" w:hAnsi="Cambria"/>
          <w:kern w:val="0"/>
          <w:sz w:val="24"/>
          <w:szCs w:val="24"/>
          <w:lang w:eastAsia="fr-FR"/>
        </w:rPr>
        <w:t xml:space="preserve">L’objectif de </w:t>
      </w:r>
      <w:r w:rsidR="00A214AD" w:rsidRPr="00571A9F">
        <w:rPr>
          <w:rFonts w:ascii="Cambria" w:eastAsia="Times New Roman" w:hAnsi="Cambria"/>
          <w:kern w:val="0"/>
          <w:sz w:val="24"/>
          <w:szCs w:val="24"/>
          <w:lang w:eastAsia="fr-FR"/>
        </w:rPr>
        <w:t>la</w:t>
      </w:r>
      <w:r w:rsidR="006C174B" w:rsidRPr="00571A9F">
        <w:rPr>
          <w:rFonts w:ascii="Cambria" w:eastAsia="Times New Roman" w:hAnsi="Cambria"/>
          <w:kern w:val="0"/>
          <w:sz w:val="24"/>
          <w:szCs w:val="24"/>
          <w:lang w:eastAsia="fr-FR"/>
        </w:rPr>
        <w:t xml:space="preserve"> communication consiste </w:t>
      </w:r>
      <w:r w:rsidR="00A214AD" w:rsidRPr="00571A9F">
        <w:rPr>
          <w:rFonts w:ascii="Cambria" w:eastAsia="Times New Roman" w:hAnsi="Cambria"/>
          <w:kern w:val="0"/>
          <w:sz w:val="24"/>
          <w:szCs w:val="24"/>
          <w:lang w:eastAsia="fr-FR"/>
        </w:rPr>
        <w:t xml:space="preserve">en effet </w:t>
      </w:r>
      <w:r w:rsidR="006C174B" w:rsidRPr="00571A9F">
        <w:rPr>
          <w:rFonts w:ascii="Cambria" w:eastAsia="Times New Roman" w:hAnsi="Cambria"/>
          <w:kern w:val="0"/>
          <w:sz w:val="24"/>
          <w:szCs w:val="24"/>
          <w:lang w:eastAsia="fr-FR"/>
        </w:rPr>
        <w:t>à analyser</w:t>
      </w:r>
      <w:r w:rsidR="001005FD" w:rsidRPr="00571A9F">
        <w:rPr>
          <w:rFonts w:ascii="Cambria" w:eastAsia="Times New Roman" w:hAnsi="Cambria"/>
          <w:kern w:val="0"/>
          <w:sz w:val="24"/>
          <w:szCs w:val="24"/>
          <w:lang w:eastAsia="fr-FR"/>
        </w:rPr>
        <w:t xml:space="preserve">, depuis la discipline des Relations Internationales (RI), </w:t>
      </w:r>
      <w:r w:rsidR="006C174B" w:rsidRPr="00571A9F">
        <w:rPr>
          <w:rFonts w:ascii="Cambria" w:eastAsia="Times New Roman" w:hAnsi="Cambria"/>
          <w:kern w:val="0"/>
          <w:sz w:val="24"/>
          <w:szCs w:val="24"/>
          <w:lang w:eastAsia="fr-FR"/>
        </w:rPr>
        <w:t xml:space="preserve">les </w:t>
      </w:r>
      <w:r w:rsidR="00C94F9D" w:rsidRPr="00571A9F">
        <w:rPr>
          <w:rFonts w:ascii="Cambria" w:eastAsia="Times New Roman" w:hAnsi="Cambria"/>
          <w:kern w:val="0"/>
          <w:sz w:val="24"/>
          <w:szCs w:val="24"/>
          <w:lang w:eastAsia="fr-FR"/>
        </w:rPr>
        <w:t xml:space="preserve">ressorts et </w:t>
      </w:r>
      <w:r w:rsidR="006C174B" w:rsidRPr="00571A9F">
        <w:rPr>
          <w:rFonts w:ascii="Cambria" w:eastAsia="Times New Roman" w:hAnsi="Cambria"/>
          <w:kern w:val="0"/>
          <w:sz w:val="24"/>
          <w:szCs w:val="24"/>
          <w:lang w:eastAsia="fr-FR"/>
        </w:rPr>
        <w:t>caractéristiques de l</w:t>
      </w:r>
      <w:r w:rsidR="00A214AD" w:rsidRPr="00571A9F">
        <w:rPr>
          <w:rFonts w:ascii="Cambria" w:eastAsia="Times New Roman" w:hAnsi="Cambria"/>
          <w:kern w:val="0"/>
          <w:sz w:val="24"/>
          <w:szCs w:val="24"/>
          <w:lang w:eastAsia="fr-FR"/>
        </w:rPr>
        <w:t xml:space="preserve">a récente </w:t>
      </w:r>
      <w:r w:rsidR="006C174B" w:rsidRPr="00571A9F">
        <w:rPr>
          <w:rFonts w:ascii="Cambria" w:eastAsia="Times New Roman" w:hAnsi="Cambria"/>
          <w:kern w:val="0"/>
          <w:sz w:val="24"/>
          <w:szCs w:val="24"/>
          <w:lang w:eastAsia="fr-FR"/>
        </w:rPr>
        <w:t xml:space="preserve">incursion chinoise dans la Caraïbe insulaire </w:t>
      </w:r>
      <w:r w:rsidR="00A82F00" w:rsidRPr="00571A9F">
        <w:rPr>
          <w:rFonts w:ascii="Cambria" w:eastAsia="Times New Roman" w:hAnsi="Cambria"/>
          <w:kern w:val="0"/>
          <w:sz w:val="24"/>
          <w:szCs w:val="24"/>
          <w:lang w:eastAsia="fr-FR"/>
        </w:rPr>
        <w:t xml:space="preserve">en tentant de répondre à une série de questions </w:t>
      </w:r>
      <w:r w:rsidR="006C174B" w:rsidRPr="00571A9F">
        <w:rPr>
          <w:rFonts w:ascii="Cambria" w:eastAsia="Times New Roman" w:hAnsi="Cambria"/>
          <w:kern w:val="0"/>
          <w:sz w:val="24"/>
          <w:szCs w:val="24"/>
          <w:lang w:eastAsia="fr-FR"/>
        </w:rPr>
        <w:t xml:space="preserve">: </w:t>
      </w:r>
      <w:r w:rsidR="00A82F00" w:rsidRPr="00571A9F">
        <w:rPr>
          <w:rFonts w:ascii="Cambria" w:eastAsia="Times New Roman" w:hAnsi="Cambria"/>
          <w:kern w:val="0"/>
          <w:sz w:val="24"/>
          <w:szCs w:val="24"/>
          <w:lang w:eastAsia="fr-FR"/>
        </w:rPr>
        <w:t xml:space="preserve">Quelles sont les </w:t>
      </w:r>
      <w:r w:rsidR="006C174B" w:rsidRPr="00571A9F">
        <w:rPr>
          <w:rFonts w:ascii="Cambria" w:eastAsia="Times New Roman" w:hAnsi="Cambria"/>
          <w:kern w:val="0"/>
          <w:sz w:val="24"/>
          <w:szCs w:val="24"/>
          <w:lang w:eastAsia="fr-FR"/>
        </w:rPr>
        <w:t xml:space="preserve">principales </w:t>
      </w:r>
      <w:r w:rsidR="00A82F00" w:rsidRPr="00571A9F">
        <w:rPr>
          <w:rFonts w:ascii="Cambria" w:eastAsia="Times New Roman" w:hAnsi="Cambria"/>
          <w:kern w:val="0"/>
          <w:sz w:val="24"/>
          <w:szCs w:val="24"/>
          <w:lang w:eastAsia="fr-FR"/>
        </w:rPr>
        <w:t xml:space="preserve">visées politiques </w:t>
      </w:r>
      <w:r w:rsidR="006C174B" w:rsidRPr="00571A9F">
        <w:rPr>
          <w:rFonts w:ascii="Cambria" w:eastAsia="Times New Roman" w:hAnsi="Cambria"/>
          <w:kern w:val="0"/>
          <w:sz w:val="24"/>
          <w:szCs w:val="24"/>
          <w:lang w:eastAsia="fr-FR"/>
        </w:rPr>
        <w:t xml:space="preserve">de </w:t>
      </w:r>
      <w:r w:rsidR="00E67AAE" w:rsidRPr="00571A9F">
        <w:rPr>
          <w:rFonts w:ascii="Cambria" w:eastAsia="Times New Roman" w:hAnsi="Cambria"/>
          <w:kern w:val="0"/>
          <w:sz w:val="24"/>
          <w:szCs w:val="24"/>
          <w:lang w:eastAsia="fr-FR"/>
        </w:rPr>
        <w:t>la R</w:t>
      </w:r>
      <w:r w:rsidR="00C94F9D" w:rsidRPr="00571A9F">
        <w:rPr>
          <w:rFonts w:ascii="Cambria" w:eastAsia="Times New Roman" w:hAnsi="Cambria"/>
          <w:kern w:val="0"/>
          <w:sz w:val="24"/>
          <w:szCs w:val="24"/>
          <w:lang w:eastAsia="fr-FR"/>
        </w:rPr>
        <w:t xml:space="preserve">épublique </w:t>
      </w:r>
      <w:r w:rsidR="00E67AAE" w:rsidRPr="00571A9F">
        <w:rPr>
          <w:rFonts w:ascii="Cambria" w:eastAsia="Times New Roman" w:hAnsi="Cambria"/>
          <w:kern w:val="0"/>
          <w:sz w:val="24"/>
          <w:szCs w:val="24"/>
          <w:lang w:eastAsia="fr-FR"/>
        </w:rPr>
        <w:t>P</w:t>
      </w:r>
      <w:r w:rsidR="00C94F9D" w:rsidRPr="00571A9F">
        <w:rPr>
          <w:rFonts w:ascii="Cambria" w:eastAsia="Times New Roman" w:hAnsi="Cambria"/>
          <w:kern w:val="0"/>
          <w:sz w:val="24"/>
          <w:szCs w:val="24"/>
          <w:lang w:eastAsia="fr-FR"/>
        </w:rPr>
        <w:t xml:space="preserve">opulaire de </w:t>
      </w:r>
      <w:r w:rsidR="00E67AAE" w:rsidRPr="00571A9F">
        <w:rPr>
          <w:rFonts w:ascii="Cambria" w:eastAsia="Times New Roman" w:hAnsi="Cambria"/>
          <w:kern w:val="0"/>
          <w:sz w:val="24"/>
          <w:szCs w:val="24"/>
          <w:lang w:eastAsia="fr-FR"/>
        </w:rPr>
        <w:t>C</w:t>
      </w:r>
      <w:r w:rsidR="00C94F9D" w:rsidRPr="00571A9F">
        <w:rPr>
          <w:rFonts w:ascii="Cambria" w:eastAsia="Times New Roman" w:hAnsi="Cambria"/>
          <w:kern w:val="0"/>
          <w:sz w:val="24"/>
          <w:szCs w:val="24"/>
          <w:lang w:eastAsia="fr-FR"/>
        </w:rPr>
        <w:t>hine (RPC)</w:t>
      </w:r>
      <w:r w:rsidR="00A82F00" w:rsidRPr="00571A9F">
        <w:rPr>
          <w:rFonts w:ascii="Cambria" w:eastAsia="Times New Roman" w:hAnsi="Cambria"/>
          <w:kern w:val="0"/>
          <w:sz w:val="24"/>
          <w:szCs w:val="24"/>
          <w:lang w:eastAsia="fr-FR"/>
        </w:rPr>
        <w:t xml:space="preserve"> dans </w:t>
      </w:r>
      <w:r w:rsidR="00A214AD" w:rsidRPr="00571A9F">
        <w:rPr>
          <w:rFonts w:ascii="Cambria" w:eastAsia="Times New Roman" w:hAnsi="Cambria"/>
          <w:kern w:val="0"/>
          <w:sz w:val="24"/>
          <w:szCs w:val="24"/>
          <w:lang w:eastAsia="fr-FR"/>
        </w:rPr>
        <w:t>son</w:t>
      </w:r>
      <w:r w:rsidR="00A82F00" w:rsidRPr="00571A9F">
        <w:rPr>
          <w:rFonts w:ascii="Cambria" w:eastAsia="Times New Roman" w:hAnsi="Cambria"/>
          <w:kern w:val="0"/>
          <w:sz w:val="24"/>
          <w:szCs w:val="24"/>
          <w:lang w:eastAsia="fr-FR"/>
        </w:rPr>
        <w:t xml:space="preserve"> rapprochement avec </w:t>
      </w:r>
      <w:r w:rsidR="001005FD" w:rsidRPr="00571A9F">
        <w:rPr>
          <w:rFonts w:ascii="Cambria" w:eastAsia="Times New Roman" w:hAnsi="Cambria"/>
          <w:kern w:val="0"/>
          <w:sz w:val="24"/>
          <w:szCs w:val="24"/>
          <w:lang w:eastAsia="fr-FR"/>
        </w:rPr>
        <w:t>Cuba et les pays membres de la CARICOM</w:t>
      </w:r>
      <w:r w:rsidR="006C174B" w:rsidRPr="00571A9F">
        <w:rPr>
          <w:rFonts w:ascii="Cambria" w:eastAsia="Times New Roman" w:hAnsi="Cambria"/>
          <w:kern w:val="0"/>
          <w:sz w:val="24"/>
          <w:szCs w:val="24"/>
          <w:lang w:eastAsia="fr-FR"/>
        </w:rPr>
        <w:t xml:space="preserve">? </w:t>
      </w:r>
      <w:r w:rsidR="004D0E8E" w:rsidRPr="00571A9F">
        <w:rPr>
          <w:rFonts w:ascii="Cambria" w:eastAsia="Times New Roman" w:hAnsi="Cambria"/>
          <w:kern w:val="0"/>
          <w:sz w:val="24"/>
          <w:szCs w:val="24"/>
          <w:lang w:eastAsia="fr-FR"/>
        </w:rPr>
        <w:t xml:space="preserve">Essaie-t-elle toujours </w:t>
      </w:r>
      <w:r w:rsidR="00BA3E43">
        <w:rPr>
          <w:rFonts w:ascii="Cambria" w:eastAsia="Times New Roman" w:hAnsi="Cambria"/>
          <w:kern w:val="0"/>
          <w:sz w:val="24"/>
          <w:szCs w:val="24"/>
          <w:lang w:eastAsia="fr-FR"/>
        </w:rPr>
        <w:t>de déplacer diplomatiquement Tai</w:t>
      </w:r>
      <w:r w:rsidR="004D0E8E" w:rsidRPr="00571A9F">
        <w:rPr>
          <w:rFonts w:ascii="Cambria" w:eastAsia="Times New Roman" w:hAnsi="Cambria"/>
          <w:kern w:val="0"/>
          <w:sz w:val="24"/>
          <w:szCs w:val="24"/>
          <w:lang w:eastAsia="fr-FR"/>
        </w:rPr>
        <w:t xml:space="preserve">wan ? </w:t>
      </w:r>
      <w:r w:rsidR="008A623A" w:rsidRPr="00571A9F">
        <w:rPr>
          <w:rFonts w:ascii="Cambria" w:eastAsia="Times New Roman" w:hAnsi="Cambria"/>
          <w:kern w:val="0"/>
          <w:sz w:val="24"/>
          <w:szCs w:val="24"/>
          <w:lang w:eastAsia="fr-FR"/>
        </w:rPr>
        <w:t>Le cas échéant, quelle stratégie poursuit-elle pour y parvenir ? Du côté de</w:t>
      </w:r>
      <w:r w:rsidR="00662A80" w:rsidRPr="00571A9F">
        <w:rPr>
          <w:rFonts w:ascii="Cambria" w:eastAsia="Times New Roman" w:hAnsi="Cambria"/>
          <w:kern w:val="0"/>
          <w:sz w:val="24"/>
          <w:szCs w:val="24"/>
          <w:lang w:eastAsia="fr-FR"/>
        </w:rPr>
        <w:t>s pays de</w:t>
      </w:r>
      <w:r w:rsidR="008A623A" w:rsidRPr="00571A9F">
        <w:rPr>
          <w:rFonts w:ascii="Cambria" w:eastAsia="Times New Roman" w:hAnsi="Cambria"/>
          <w:kern w:val="0"/>
          <w:sz w:val="24"/>
          <w:szCs w:val="24"/>
          <w:lang w:eastAsia="fr-FR"/>
        </w:rPr>
        <w:t xml:space="preserve"> la Caraïbe, quelles sont le</w:t>
      </w:r>
      <w:r w:rsidR="00662A80" w:rsidRPr="00571A9F">
        <w:rPr>
          <w:rFonts w:ascii="Cambria" w:eastAsia="Times New Roman" w:hAnsi="Cambria"/>
          <w:kern w:val="0"/>
          <w:sz w:val="24"/>
          <w:szCs w:val="24"/>
          <w:lang w:eastAsia="fr-FR"/>
        </w:rPr>
        <w:t>ur</w:t>
      </w:r>
      <w:r w:rsidR="008A623A" w:rsidRPr="00571A9F">
        <w:rPr>
          <w:rFonts w:ascii="Cambria" w:eastAsia="Times New Roman" w:hAnsi="Cambria"/>
          <w:kern w:val="0"/>
          <w:sz w:val="24"/>
          <w:szCs w:val="24"/>
          <w:lang w:eastAsia="fr-FR"/>
        </w:rPr>
        <w:t xml:space="preserve">s attentes dans ce partenariat avec Pékin ? Enfin, comment ce processus de rapprochement sino-caribéen s’articule-t-il avec les intérêts de l’Europe et des Etats-Unis dans la région ? Est-il possible de construire une relation triangulaire entre la Caraïbe, la RPC et l’Union européenne ? </w:t>
      </w:r>
    </w:p>
    <w:p w:rsidR="006C174B" w:rsidRPr="008A623A" w:rsidRDefault="006C174B" w:rsidP="006C174B">
      <w:pPr>
        <w:spacing w:line="225" w:lineRule="atLeast"/>
        <w:textAlignment w:val="baseline"/>
        <w:rPr>
          <w:rFonts w:asciiTheme="minorHAnsi" w:eastAsia="Times New Roman" w:hAnsiTheme="minorHAnsi"/>
          <w:i/>
          <w:kern w:val="0"/>
          <w:sz w:val="22"/>
          <w:szCs w:val="22"/>
          <w:lang w:eastAsia="fr-FR"/>
        </w:rPr>
      </w:pPr>
    </w:p>
    <w:p w:rsidR="005D5B57" w:rsidRDefault="005D5B57">
      <w:pPr>
        <w:spacing w:after="160" w:line="259" w:lineRule="auto"/>
        <w:jc w:val="left"/>
      </w:pPr>
      <w:r>
        <w:br w:type="page"/>
      </w:r>
    </w:p>
    <w:p w:rsidR="008A629A" w:rsidRPr="00571A9F" w:rsidRDefault="008A629A"/>
    <w:p w:rsidR="005D5B57" w:rsidRPr="00011E32" w:rsidRDefault="005D5B57" w:rsidP="005D5B57">
      <w:pPr>
        <w:ind w:right="-11"/>
        <w:jc w:val="center"/>
        <w:rPr>
          <w:rFonts w:asciiTheme="minorHAnsi" w:hAnsiTheme="minorHAnsi" w:cs="TimesNewRoman,Bold"/>
          <w:b/>
          <w:bCs/>
          <w:color w:val="70AD47" w:themeColor="accent6"/>
          <w:sz w:val="32"/>
          <w:szCs w:val="32"/>
        </w:rPr>
      </w:pPr>
      <w:r w:rsidRPr="00011E32">
        <w:rPr>
          <w:rFonts w:asciiTheme="minorHAnsi" w:hAnsiTheme="minorHAnsi" w:cs="TimesNewRoman,Bold"/>
          <w:b/>
          <w:bCs/>
          <w:color w:val="70AD47" w:themeColor="accent6"/>
          <w:sz w:val="32"/>
          <w:szCs w:val="32"/>
        </w:rPr>
        <w:t>NOTICE BIOGRAPHIQUE</w:t>
      </w:r>
    </w:p>
    <w:p w:rsidR="005D5B57" w:rsidRDefault="005D5B57" w:rsidP="005D5B57">
      <w:pPr>
        <w:ind w:right="-11"/>
        <w:jc w:val="center"/>
        <w:rPr>
          <w:rFonts w:ascii="Cambria" w:hAnsi="Cambria"/>
          <w:b/>
        </w:rPr>
      </w:pPr>
    </w:p>
    <w:p w:rsidR="005D5B57" w:rsidRPr="00D4170A" w:rsidRDefault="005D5B57" w:rsidP="005D5B57">
      <w:pPr>
        <w:ind w:right="283"/>
        <w:rPr>
          <w:rFonts w:ascii="Cambria" w:hAnsi="Cambria"/>
          <w:sz w:val="24"/>
          <w:szCs w:val="24"/>
        </w:rPr>
      </w:pPr>
      <w:r w:rsidRPr="00D4170A">
        <w:rPr>
          <w:rFonts w:ascii="Cambria" w:hAnsi="Cambria"/>
          <w:b/>
          <w:sz w:val="24"/>
          <w:szCs w:val="24"/>
        </w:rPr>
        <w:t>Eric DUBESSET</w:t>
      </w:r>
      <w:r w:rsidRPr="00D4170A">
        <w:rPr>
          <w:rFonts w:ascii="Cambria" w:hAnsi="Cambria"/>
          <w:sz w:val="24"/>
          <w:szCs w:val="24"/>
        </w:rPr>
        <w:t xml:space="preserve"> est Maître de Conférences des Universités en études ibéro-américaines à la Faculté de Droit et de Science Politique de l’Université de Bordeaux. Il est habilité à diriger des recherches et qualifié aux fonctions de Professeur des Universités. En sa qualité de référent de l’Institut des Amériques (IdA), il participe au développement de la coopération académique, scientifique et para-diplomatique euro-américaine. Les études politiques comparées qu’il mène au Centre Montesquieu de Recherches Politiques (CMRP) dans les domaines de la théorie politique et des Relations Internationales portent sur les régimes (autoritarisme, populisme) et les dynamiques régionalistes de</w:t>
      </w:r>
      <w:r w:rsidR="00D4170A">
        <w:rPr>
          <w:rFonts w:ascii="Cambria" w:hAnsi="Cambria"/>
          <w:sz w:val="24"/>
          <w:szCs w:val="24"/>
        </w:rPr>
        <w:t>s Etats de</w:t>
      </w:r>
      <w:r w:rsidRPr="00D4170A">
        <w:rPr>
          <w:rFonts w:ascii="Cambria" w:hAnsi="Cambria"/>
          <w:sz w:val="24"/>
          <w:szCs w:val="24"/>
        </w:rPr>
        <w:t xml:space="preserve"> l’Amérique latino-caribéenne insulaire (Cuba, République Dominicaine, Porto Rico, Antilles françaises) et continentale (Venezuela, Colombie et Mexique), envisagés notamment dans leurs relations avec les Etats-Unis, l’Union européenne et l</w:t>
      </w:r>
      <w:r w:rsidR="00BA3E43">
        <w:rPr>
          <w:rFonts w:ascii="Cambria" w:hAnsi="Cambria"/>
          <w:sz w:val="24"/>
          <w:szCs w:val="24"/>
        </w:rPr>
        <w:t>’Asie (</w:t>
      </w:r>
      <w:r w:rsidRPr="00D4170A">
        <w:rPr>
          <w:rFonts w:ascii="Cambria" w:hAnsi="Cambria"/>
          <w:sz w:val="24"/>
          <w:szCs w:val="24"/>
        </w:rPr>
        <w:t>Chine</w:t>
      </w:r>
      <w:r w:rsidR="00BA3E43">
        <w:rPr>
          <w:rFonts w:ascii="Cambria" w:hAnsi="Cambria"/>
          <w:sz w:val="24"/>
          <w:szCs w:val="24"/>
        </w:rPr>
        <w:t xml:space="preserve"> et Taiwan)</w:t>
      </w:r>
      <w:r w:rsidRPr="00D4170A">
        <w:rPr>
          <w:rFonts w:ascii="Cambria" w:hAnsi="Cambria"/>
          <w:sz w:val="24"/>
          <w:szCs w:val="24"/>
        </w:rPr>
        <w:t xml:space="preserve">. </w:t>
      </w:r>
    </w:p>
    <w:p w:rsidR="005D5B57" w:rsidRDefault="005D5B57" w:rsidP="005D5B57">
      <w:pPr>
        <w:spacing w:after="160" w:line="259" w:lineRule="auto"/>
        <w:rPr>
          <w:rFonts w:asciiTheme="minorHAnsi" w:hAnsiTheme="minorHAnsi" w:cstheme="minorHAnsi"/>
          <w:b/>
          <w:color w:val="70AD47" w:themeColor="accent6"/>
          <w:sz w:val="32"/>
          <w:szCs w:val="32"/>
        </w:rPr>
      </w:pPr>
    </w:p>
    <w:p w:rsidR="005D5B57" w:rsidRDefault="005D5B57" w:rsidP="005D5B57">
      <w:pPr>
        <w:ind w:right="-426"/>
        <w:jc w:val="center"/>
        <w:rPr>
          <w:rFonts w:asciiTheme="minorHAnsi" w:hAnsiTheme="minorHAnsi" w:cstheme="minorHAnsi"/>
          <w:b/>
          <w:color w:val="70AD47" w:themeColor="accent6"/>
          <w:sz w:val="32"/>
          <w:szCs w:val="32"/>
        </w:rPr>
      </w:pPr>
      <w:r w:rsidRPr="00040384">
        <w:rPr>
          <w:rFonts w:asciiTheme="minorHAnsi" w:hAnsiTheme="minorHAnsi" w:cstheme="minorHAnsi"/>
          <w:b/>
          <w:color w:val="70AD47" w:themeColor="accent6"/>
          <w:sz w:val="32"/>
          <w:szCs w:val="32"/>
        </w:rPr>
        <w:t>NOTICE BIBLIOGRAPHIQUE</w:t>
      </w:r>
      <w:r>
        <w:rPr>
          <w:rFonts w:asciiTheme="minorHAnsi" w:hAnsiTheme="minorHAnsi" w:cstheme="minorHAnsi"/>
          <w:b/>
          <w:color w:val="70AD47" w:themeColor="accent6"/>
          <w:sz w:val="32"/>
          <w:szCs w:val="32"/>
        </w:rPr>
        <w:t xml:space="preserve"> </w:t>
      </w:r>
    </w:p>
    <w:p w:rsidR="005D5B57" w:rsidRDefault="005D5B57" w:rsidP="005D5B57">
      <w:pPr>
        <w:ind w:right="-426"/>
        <w:jc w:val="center"/>
        <w:rPr>
          <w:rFonts w:asciiTheme="minorHAnsi" w:hAnsiTheme="minorHAnsi" w:cstheme="minorHAnsi"/>
          <w:b/>
          <w:color w:val="70AD47" w:themeColor="accent6"/>
          <w:sz w:val="32"/>
          <w:szCs w:val="32"/>
        </w:rPr>
      </w:pPr>
      <w:r>
        <w:rPr>
          <w:rFonts w:asciiTheme="minorHAnsi" w:hAnsiTheme="minorHAnsi" w:cstheme="minorHAnsi"/>
          <w:b/>
          <w:color w:val="70AD47" w:themeColor="accent6"/>
          <w:sz w:val="32"/>
          <w:szCs w:val="32"/>
        </w:rPr>
        <w:t>(2010-2015)</w:t>
      </w:r>
    </w:p>
    <w:p w:rsidR="005D5B57" w:rsidRDefault="005D5B57" w:rsidP="005D5B57">
      <w:pPr>
        <w:ind w:right="-11"/>
        <w:rPr>
          <w:b/>
          <w:sz w:val="24"/>
          <w:szCs w:val="24"/>
        </w:rPr>
      </w:pPr>
    </w:p>
    <w:p w:rsidR="005D5B57" w:rsidRPr="00F01A6C" w:rsidRDefault="005D5B57" w:rsidP="005D5B57">
      <w:pPr>
        <w:ind w:right="-11"/>
        <w:rPr>
          <w:b/>
          <w:sz w:val="24"/>
          <w:szCs w:val="24"/>
        </w:rPr>
      </w:pPr>
      <w:r w:rsidRPr="00F01A6C">
        <w:rPr>
          <w:b/>
          <w:sz w:val="24"/>
          <w:szCs w:val="24"/>
        </w:rPr>
        <w:t>Direction d’ouvrages et de numéro</w:t>
      </w:r>
      <w:r>
        <w:rPr>
          <w:b/>
          <w:sz w:val="24"/>
          <w:szCs w:val="24"/>
        </w:rPr>
        <w:t>s</w:t>
      </w:r>
      <w:r w:rsidRPr="00F01A6C">
        <w:rPr>
          <w:b/>
          <w:sz w:val="24"/>
          <w:szCs w:val="24"/>
        </w:rPr>
        <w:t xml:space="preserve"> de revue </w:t>
      </w:r>
      <w:r>
        <w:rPr>
          <w:b/>
          <w:sz w:val="24"/>
          <w:szCs w:val="24"/>
        </w:rPr>
        <w:t xml:space="preserve">à comité de lecture </w:t>
      </w:r>
      <w:r w:rsidRPr="00F01A6C">
        <w:rPr>
          <w:b/>
          <w:sz w:val="24"/>
          <w:szCs w:val="24"/>
        </w:rPr>
        <w:t>(DO)</w:t>
      </w:r>
    </w:p>
    <w:p w:rsidR="005D5B57" w:rsidRPr="007E55A8" w:rsidRDefault="005D5B57" w:rsidP="005D5B57">
      <w:pPr>
        <w:spacing w:before="120"/>
        <w:ind w:left="1418" w:right="-11" w:hanging="1418"/>
      </w:pPr>
      <w:r w:rsidRPr="00653C81">
        <w:t>&lt;DO1&gt;</w:t>
      </w:r>
      <w:r w:rsidRPr="00653C81">
        <w:rPr>
          <w:i/>
          <w:sz w:val="24"/>
          <w:szCs w:val="24"/>
        </w:rPr>
        <w:t xml:space="preserve"> </w:t>
      </w:r>
      <w:r w:rsidRPr="00653C81">
        <w:rPr>
          <w:i/>
          <w:sz w:val="24"/>
          <w:szCs w:val="24"/>
        </w:rPr>
        <w:tab/>
      </w:r>
      <w:r w:rsidRPr="00662A80">
        <w:rPr>
          <w:i/>
          <w:sz w:val="24"/>
          <w:szCs w:val="24"/>
        </w:rPr>
        <w:t>Cuba dans les Amériques.</w:t>
      </w:r>
      <w:r w:rsidRPr="00662A80">
        <w:rPr>
          <w:sz w:val="24"/>
          <w:szCs w:val="24"/>
        </w:rPr>
        <w:t xml:space="preserve"> </w:t>
      </w:r>
      <w:r>
        <w:rPr>
          <w:i/>
          <w:sz w:val="24"/>
          <w:szCs w:val="24"/>
        </w:rPr>
        <w:t>Relire</w:t>
      </w:r>
      <w:r w:rsidRPr="00E03C9C">
        <w:rPr>
          <w:i/>
          <w:sz w:val="24"/>
          <w:szCs w:val="24"/>
        </w:rPr>
        <w:t xml:space="preserve"> José Marti </w:t>
      </w:r>
      <w:r>
        <w:rPr>
          <w:i/>
          <w:sz w:val="24"/>
          <w:szCs w:val="24"/>
        </w:rPr>
        <w:t>au seuil du XXI</w:t>
      </w:r>
      <w:r w:rsidRPr="00102EFB">
        <w:rPr>
          <w:i/>
          <w:sz w:val="24"/>
          <w:szCs w:val="24"/>
          <w:vertAlign w:val="superscript"/>
        </w:rPr>
        <w:t>e</w:t>
      </w:r>
      <w:r>
        <w:rPr>
          <w:i/>
          <w:sz w:val="24"/>
          <w:szCs w:val="24"/>
        </w:rPr>
        <w:t xml:space="preserve"> siècle</w:t>
      </w:r>
      <w:r w:rsidRPr="00E03C9C">
        <w:rPr>
          <w:i/>
          <w:sz w:val="24"/>
          <w:szCs w:val="24"/>
        </w:rPr>
        <w:t>.</w:t>
      </w:r>
      <w:r>
        <w:rPr>
          <w:i/>
          <w:sz w:val="24"/>
          <w:szCs w:val="24"/>
        </w:rPr>
        <w:t xml:space="preserve"> </w:t>
      </w:r>
      <w:r w:rsidRPr="00E03C9C">
        <w:rPr>
          <w:sz w:val="24"/>
          <w:szCs w:val="24"/>
        </w:rPr>
        <w:t>(Codirection avec Mélanie Moreau, MCF),</w:t>
      </w:r>
      <w:r w:rsidRPr="00E03C9C">
        <w:rPr>
          <w:i/>
          <w:sz w:val="24"/>
          <w:szCs w:val="24"/>
        </w:rPr>
        <w:t xml:space="preserve"> </w:t>
      </w:r>
      <w:r w:rsidRPr="00E03C9C">
        <w:rPr>
          <w:sz w:val="24"/>
          <w:szCs w:val="24"/>
        </w:rPr>
        <w:t>Pessac</w:t>
      </w:r>
      <w:r>
        <w:rPr>
          <w:sz w:val="24"/>
          <w:szCs w:val="24"/>
        </w:rPr>
        <w:t>,</w:t>
      </w:r>
      <w:r w:rsidRPr="00E03C9C">
        <w:rPr>
          <w:sz w:val="24"/>
          <w:szCs w:val="24"/>
        </w:rPr>
        <w:t xml:space="preserve"> Collection de la Maison des Pays ibériques, Série Amérique</w:t>
      </w:r>
      <w:r>
        <w:rPr>
          <w:sz w:val="24"/>
          <w:szCs w:val="24"/>
        </w:rPr>
        <w:t>s</w:t>
      </w:r>
      <w:r w:rsidRPr="00E03C9C">
        <w:rPr>
          <w:sz w:val="24"/>
          <w:szCs w:val="24"/>
        </w:rPr>
        <w:t>, Presses Universitaires de Bordeaux</w:t>
      </w:r>
      <w:r>
        <w:rPr>
          <w:sz w:val="24"/>
          <w:szCs w:val="24"/>
        </w:rPr>
        <w:t>,</w:t>
      </w:r>
      <w:r w:rsidRPr="00E03C9C">
        <w:rPr>
          <w:sz w:val="24"/>
          <w:szCs w:val="24"/>
        </w:rPr>
        <w:t xml:space="preserve"> </w:t>
      </w:r>
      <w:r>
        <w:rPr>
          <w:sz w:val="24"/>
          <w:szCs w:val="24"/>
        </w:rPr>
        <w:t xml:space="preserve">2015, </w:t>
      </w:r>
      <w:r w:rsidRPr="00E03C9C">
        <w:rPr>
          <w:sz w:val="24"/>
          <w:szCs w:val="24"/>
        </w:rPr>
        <w:t>4</w:t>
      </w:r>
      <w:r>
        <w:rPr>
          <w:sz w:val="24"/>
          <w:szCs w:val="24"/>
        </w:rPr>
        <w:t>12</w:t>
      </w:r>
      <w:r w:rsidRPr="00026083">
        <w:rPr>
          <w:sz w:val="24"/>
          <w:szCs w:val="24"/>
        </w:rPr>
        <w:t xml:space="preserve"> </w:t>
      </w:r>
      <w:r w:rsidRPr="00E03C9C">
        <w:rPr>
          <w:sz w:val="24"/>
          <w:szCs w:val="24"/>
        </w:rPr>
        <w:t>p.</w:t>
      </w:r>
    </w:p>
    <w:p w:rsidR="005D5B57" w:rsidRPr="00E03C9C" w:rsidRDefault="005D5B57" w:rsidP="005D5B57">
      <w:pPr>
        <w:spacing w:before="120"/>
        <w:ind w:left="1418" w:right="-11" w:hanging="1418"/>
        <w:rPr>
          <w:sz w:val="24"/>
          <w:szCs w:val="24"/>
        </w:rPr>
      </w:pPr>
      <w:r w:rsidRPr="00E03C9C">
        <w:t>&lt;DO2&gt;</w:t>
      </w:r>
      <w:r>
        <w:tab/>
      </w:r>
      <w:r w:rsidRPr="00E03C9C">
        <w:rPr>
          <w:i/>
          <w:sz w:val="24"/>
          <w:szCs w:val="24"/>
        </w:rPr>
        <w:t>Dynamiques caribéennes. Pour une histoire des circulations dans l’espace atlantique</w:t>
      </w:r>
      <w:r w:rsidRPr="00E03C9C">
        <w:rPr>
          <w:sz w:val="24"/>
          <w:szCs w:val="24"/>
        </w:rPr>
        <w:t xml:space="preserve"> (XVIII-XIX</w:t>
      </w:r>
      <w:r w:rsidRPr="00E03C9C">
        <w:rPr>
          <w:sz w:val="24"/>
          <w:szCs w:val="24"/>
          <w:vertAlign w:val="superscript"/>
        </w:rPr>
        <w:t>e</w:t>
      </w:r>
      <w:r w:rsidRPr="00E03C9C">
        <w:rPr>
          <w:sz w:val="24"/>
          <w:szCs w:val="24"/>
        </w:rPr>
        <w:t xml:space="preserve"> s.), Coll. Maison des Pays Ibériques, Série Amériques, Presses Universitaires de Bordeaux, (codirection avec Jacques de Cauna), 2014, </w:t>
      </w:r>
      <w:r w:rsidRPr="007360C7">
        <w:rPr>
          <w:sz w:val="24"/>
          <w:szCs w:val="24"/>
        </w:rPr>
        <w:t>40</w:t>
      </w:r>
      <w:r>
        <w:rPr>
          <w:sz w:val="24"/>
          <w:szCs w:val="24"/>
        </w:rPr>
        <w:t>2</w:t>
      </w:r>
      <w:r w:rsidRPr="00E03C9C">
        <w:rPr>
          <w:sz w:val="24"/>
          <w:szCs w:val="24"/>
        </w:rPr>
        <w:t xml:space="preserve"> p.</w:t>
      </w:r>
    </w:p>
    <w:p w:rsidR="005D5B57" w:rsidRDefault="005D5B57" w:rsidP="005D5B57">
      <w:pPr>
        <w:spacing w:before="120"/>
        <w:ind w:left="1418" w:right="-11" w:hanging="1418"/>
        <w:rPr>
          <w:sz w:val="24"/>
          <w:szCs w:val="24"/>
        </w:rPr>
      </w:pPr>
      <w:r w:rsidRPr="007E55A8">
        <w:t>&lt;DO3&gt;</w:t>
      </w:r>
      <w:r w:rsidRPr="00E03C9C">
        <w:rPr>
          <w:i/>
          <w:sz w:val="24"/>
          <w:szCs w:val="24"/>
        </w:rPr>
        <w:t xml:space="preserve"> </w:t>
      </w:r>
      <w:r>
        <w:rPr>
          <w:i/>
          <w:sz w:val="24"/>
          <w:szCs w:val="24"/>
        </w:rPr>
        <w:tab/>
      </w:r>
      <w:r w:rsidRPr="00FD4083">
        <w:rPr>
          <w:i/>
          <w:sz w:val="24"/>
          <w:szCs w:val="24"/>
        </w:rPr>
        <w:t>Les populismes d’hier et d’aujourd’hui</w:t>
      </w:r>
      <w:r w:rsidRPr="00FD4083">
        <w:rPr>
          <w:sz w:val="24"/>
          <w:szCs w:val="24"/>
        </w:rPr>
        <w:t xml:space="preserve">, Dossier constitutionnel, </w:t>
      </w:r>
      <w:r w:rsidRPr="00FD4083">
        <w:rPr>
          <w:i/>
          <w:sz w:val="24"/>
          <w:szCs w:val="24"/>
        </w:rPr>
        <w:t xml:space="preserve">Politeia, </w:t>
      </w:r>
      <w:r w:rsidRPr="00FD4083">
        <w:rPr>
          <w:sz w:val="24"/>
          <w:szCs w:val="24"/>
        </w:rPr>
        <w:t>(coordination avec le Prof. Gérard Dussouy et avec la participation de Thierry Dominici), n°24, décembre 2013, 443 p.</w:t>
      </w:r>
    </w:p>
    <w:p w:rsidR="005D5B57" w:rsidRPr="00E03C9C" w:rsidRDefault="005D5B57" w:rsidP="005D5B57">
      <w:pPr>
        <w:spacing w:before="120"/>
        <w:ind w:left="1418" w:right="-11" w:hanging="1418"/>
        <w:rPr>
          <w:sz w:val="24"/>
          <w:szCs w:val="24"/>
        </w:rPr>
      </w:pPr>
      <w:r w:rsidRPr="00653C81">
        <w:rPr>
          <w:lang w:val="es-ES"/>
        </w:rPr>
        <w:t>&lt;DO4&gt;</w:t>
      </w:r>
      <w:r w:rsidRPr="00653C81">
        <w:rPr>
          <w:i/>
          <w:sz w:val="24"/>
          <w:szCs w:val="24"/>
          <w:lang w:val="es-ES"/>
        </w:rPr>
        <w:t xml:space="preserve"> </w:t>
      </w:r>
      <w:r w:rsidRPr="00653C81">
        <w:rPr>
          <w:i/>
          <w:sz w:val="24"/>
          <w:szCs w:val="24"/>
          <w:lang w:val="es-ES"/>
        </w:rPr>
        <w:tab/>
      </w:r>
      <w:r w:rsidRPr="00E03C9C">
        <w:rPr>
          <w:i/>
          <w:sz w:val="24"/>
          <w:szCs w:val="24"/>
          <w:lang w:val="es-PR"/>
        </w:rPr>
        <w:t xml:space="preserve">El populismo en Latinoamérica. </w:t>
      </w:r>
      <w:r w:rsidRPr="00E03C9C">
        <w:rPr>
          <w:i/>
          <w:sz w:val="24"/>
          <w:szCs w:val="24"/>
        </w:rPr>
        <w:t>Teorías, historia y valores</w:t>
      </w:r>
      <w:r w:rsidRPr="00E03C9C">
        <w:rPr>
          <w:sz w:val="24"/>
          <w:szCs w:val="24"/>
        </w:rPr>
        <w:t>, Centre Montesquieu de Recherches Politiques (CMRP)/Institut des Amériques (IDA), Pessac : Presses Universitaires de Bordeaux, 2012, 276p, (codirection avec l</w:t>
      </w:r>
      <w:r>
        <w:rPr>
          <w:sz w:val="24"/>
          <w:szCs w:val="24"/>
        </w:rPr>
        <w:t>a</w:t>
      </w:r>
      <w:r w:rsidRPr="00E03C9C">
        <w:rPr>
          <w:sz w:val="24"/>
          <w:szCs w:val="24"/>
        </w:rPr>
        <w:t xml:space="preserve"> Pr. Lucía Majlátová).</w:t>
      </w:r>
    </w:p>
    <w:p w:rsidR="005D5B57" w:rsidRPr="007E55A8" w:rsidRDefault="005D5B57" w:rsidP="005D5B57">
      <w:pPr>
        <w:spacing w:before="120"/>
        <w:ind w:left="1418" w:right="-11" w:hanging="1418"/>
        <w:rPr>
          <w:sz w:val="24"/>
          <w:szCs w:val="24"/>
        </w:rPr>
      </w:pPr>
      <w:r w:rsidRPr="00653C81">
        <w:t>&lt;DO5&gt;</w:t>
      </w:r>
      <w:r w:rsidRPr="00653C81">
        <w:rPr>
          <w:i/>
          <w:sz w:val="24"/>
          <w:szCs w:val="24"/>
        </w:rPr>
        <w:t xml:space="preserve"> </w:t>
      </w:r>
      <w:r w:rsidRPr="00653C81">
        <w:rPr>
          <w:i/>
          <w:sz w:val="24"/>
          <w:szCs w:val="24"/>
        </w:rPr>
        <w:tab/>
      </w:r>
      <w:r w:rsidRPr="00E03C9C">
        <w:rPr>
          <w:i/>
          <w:sz w:val="24"/>
          <w:szCs w:val="24"/>
        </w:rPr>
        <w:t>La Caraïbe dans la mondialisation : quelles dynamiques régionalistes ?</w:t>
      </w:r>
      <w:r w:rsidRPr="00E03C9C">
        <w:rPr>
          <w:sz w:val="24"/>
          <w:szCs w:val="24"/>
        </w:rPr>
        <w:t>, (codirection avec Rafael Lucas, MCF), Paris</w:t>
      </w:r>
      <w:r>
        <w:rPr>
          <w:sz w:val="24"/>
          <w:szCs w:val="24"/>
        </w:rPr>
        <w:t>,</w:t>
      </w:r>
      <w:r w:rsidRPr="00E03C9C">
        <w:rPr>
          <w:sz w:val="24"/>
          <w:szCs w:val="24"/>
        </w:rPr>
        <w:t xml:space="preserve"> L’Harmattan, 2011, 335 p.</w:t>
      </w:r>
    </w:p>
    <w:p w:rsidR="005D5B57" w:rsidRPr="00E03C9C" w:rsidRDefault="005D5B57" w:rsidP="005D5B57">
      <w:pPr>
        <w:spacing w:before="120"/>
        <w:ind w:left="1418" w:right="-11" w:hanging="1418"/>
        <w:rPr>
          <w:sz w:val="24"/>
          <w:szCs w:val="24"/>
        </w:rPr>
      </w:pPr>
      <w:r w:rsidRPr="00E03C9C">
        <w:t>&lt;DO6&gt;</w:t>
      </w:r>
      <w:r>
        <w:tab/>
      </w:r>
      <w:r w:rsidRPr="00E03C9C">
        <w:rPr>
          <w:i/>
          <w:sz w:val="24"/>
          <w:szCs w:val="24"/>
        </w:rPr>
        <w:t>Emancipations caribéennes.</w:t>
      </w:r>
      <w:r w:rsidRPr="00E03C9C">
        <w:rPr>
          <w:sz w:val="24"/>
          <w:szCs w:val="24"/>
        </w:rPr>
        <w:t xml:space="preserve"> </w:t>
      </w:r>
      <w:r w:rsidRPr="00E03C9C">
        <w:rPr>
          <w:i/>
          <w:sz w:val="24"/>
          <w:szCs w:val="24"/>
        </w:rPr>
        <w:t>Histoire, mémoire, enjeux socio-économiques et politiques,</w:t>
      </w:r>
      <w:r w:rsidRPr="00E03C9C">
        <w:rPr>
          <w:sz w:val="24"/>
          <w:szCs w:val="24"/>
        </w:rPr>
        <w:t xml:space="preserve"> (codirection avec l</w:t>
      </w:r>
      <w:r>
        <w:rPr>
          <w:sz w:val="24"/>
          <w:szCs w:val="24"/>
        </w:rPr>
        <w:t>a</w:t>
      </w:r>
      <w:r w:rsidRPr="00E03C9C">
        <w:rPr>
          <w:sz w:val="24"/>
          <w:szCs w:val="24"/>
        </w:rPr>
        <w:t xml:space="preserve"> Prof. Elyette Benjamin-Labarthe), Paris</w:t>
      </w:r>
      <w:r>
        <w:rPr>
          <w:sz w:val="24"/>
          <w:szCs w:val="24"/>
        </w:rPr>
        <w:t>,</w:t>
      </w:r>
      <w:r w:rsidRPr="00E03C9C">
        <w:rPr>
          <w:sz w:val="24"/>
          <w:szCs w:val="24"/>
        </w:rPr>
        <w:t xml:space="preserve"> L’Harmattan, 2010, 321 p.</w:t>
      </w:r>
    </w:p>
    <w:p w:rsidR="005D5B57" w:rsidRDefault="005D5B57" w:rsidP="005D5B57">
      <w:pPr>
        <w:spacing w:before="120"/>
        <w:ind w:left="1418" w:right="-11" w:hanging="1418"/>
        <w:rPr>
          <w:b/>
          <w:sz w:val="24"/>
          <w:szCs w:val="24"/>
        </w:rPr>
      </w:pPr>
    </w:p>
    <w:p w:rsidR="005D5B57" w:rsidRPr="0016642A" w:rsidRDefault="005D5B57" w:rsidP="005D5B57">
      <w:pPr>
        <w:spacing w:before="120"/>
        <w:ind w:left="1418" w:right="-11" w:hanging="1418"/>
        <w:rPr>
          <w:sz w:val="24"/>
          <w:szCs w:val="24"/>
        </w:rPr>
      </w:pPr>
      <w:r w:rsidRPr="0016642A">
        <w:rPr>
          <w:b/>
          <w:sz w:val="24"/>
          <w:szCs w:val="24"/>
        </w:rPr>
        <w:t xml:space="preserve">Ouvrages scientifiques (ou chapitres) (OS) </w:t>
      </w:r>
      <w:r w:rsidRPr="0016642A">
        <w:rPr>
          <w:sz w:val="24"/>
          <w:szCs w:val="24"/>
        </w:rPr>
        <w:t xml:space="preserve"> </w:t>
      </w:r>
    </w:p>
    <w:p w:rsidR="005D5B57" w:rsidRPr="005C22DE" w:rsidRDefault="005D5B57" w:rsidP="005D5B57">
      <w:pPr>
        <w:spacing w:before="120"/>
        <w:ind w:left="1418" w:right="-11" w:hanging="1418"/>
        <w:rPr>
          <w:sz w:val="24"/>
          <w:szCs w:val="24"/>
        </w:rPr>
      </w:pPr>
      <w:r w:rsidRPr="005C22DE">
        <w:rPr>
          <w:sz w:val="24"/>
          <w:szCs w:val="24"/>
        </w:rPr>
        <w:t xml:space="preserve">&lt;OS1&gt; </w:t>
      </w:r>
      <w:r w:rsidRPr="005C22DE">
        <w:rPr>
          <w:sz w:val="24"/>
          <w:szCs w:val="24"/>
        </w:rPr>
        <w:tab/>
      </w:r>
      <w:r w:rsidRPr="005C22DE">
        <w:rPr>
          <w:i/>
          <w:sz w:val="24"/>
          <w:szCs w:val="24"/>
        </w:rPr>
        <w:t>La politique extérieure de Cuba de 1959 à nos jours</w:t>
      </w:r>
      <w:r>
        <w:rPr>
          <w:sz w:val="24"/>
          <w:szCs w:val="24"/>
        </w:rPr>
        <w:t xml:space="preserve"> (en cours)</w:t>
      </w:r>
      <w:r w:rsidRPr="005C22DE">
        <w:rPr>
          <w:sz w:val="24"/>
          <w:szCs w:val="24"/>
        </w:rPr>
        <w:t xml:space="preserve">  </w:t>
      </w:r>
    </w:p>
    <w:p w:rsidR="005D5B57" w:rsidRPr="005C22DE" w:rsidRDefault="005D5B57" w:rsidP="005D5B57">
      <w:pPr>
        <w:spacing w:before="120"/>
        <w:ind w:left="1418" w:hanging="1418"/>
        <w:rPr>
          <w:sz w:val="24"/>
          <w:szCs w:val="24"/>
        </w:rPr>
      </w:pPr>
      <w:r w:rsidRPr="005C22DE">
        <w:rPr>
          <w:sz w:val="24"/>
          <w:szCs w:val="24"/>
        </w:rPr>
        <w:t xml:space="preserve">&lt;OS2&gt; </w:t>
      </w:r>
      <w:r w:rsidRPr="005C22DE">
        <w:rPr>
          <w:sz w:val="24"/>
          <w:szCs w:val="24"/>
        </w:rPr>
        <w:tab/>
        <w:t>« L’Europe et le renforcement de la coopération régionale dans la Caraïbe au seuil du XXI</w:t>
      </w:r>
      <w:r w:rsidRPr="005C22DE">
        <w:rPr>
          <w:sz w:val="24"/>
          <w:szCs w:val="24"/>
          <w:vertAlign w:val="superscript"/>
        </w:rPr>
        <w:t>ème</w:t>
      </w:r>
      <w:r w:rsidRPr="005C22DE">
        <w:rPr>
          <w:sz w:val="24"/>
          <w:szCs w:val="24"/>
        </w:rPr>
        <w:t xml:space="preserve"> siècle : le cas des Départements français d’Amérique (DFA)», dans Grard, L. (dir.), </w:t>
      </w:r>
      <w:r w:rsidRPr="005C22DE">
        <w:rPr>
          <w:i/>
          <w:sz w:val="24"/>
          <w:szCs w:val="24"/>
        </w:rPr>
        <w:t>Les Amériques et l’Europe</w:t>
      </w:r>
      <w:r w:rsidRPr="005C22DE">
        <w:rPr>
          <w:sz w:val="24"/>
          <w:szCs w:val="24"/>
        </w:rPr>
        <w:t xml:space="preserve">, Ed. Pedone, Coll. Droits européens, (en cours).  </w:t>
      </w:r>
    </w:p>
    <w:p w:rsidR="005D5B57" w:rsidRPr="005C22DE" w:rsidRDefault="005D5B57" w:rsidP="005D5B57">
      <w:pPr>
        <w:autoSpaceDE w:val="0"/>
        <w:autoSpaceDN w:val="0"/>
        <w:adjustRightInd w:val="0"/>
        <w:spacing w:before="120"/>
        <w:ind w:left="1418" w:right="-11" w:hanging="1418"/>
        <w:rPr>
          <w:sz w:val="24"/>
          <w:szCs w:val="24"/>
        </w:rPr>
      </w:pPr>
      <w:r w:rsidRPr="005C22DE">
        <w:rPr>
          <w:sz w:val="24"/>
          <w:szCs w:val="24"/>
        </w:rPr>
        <w:t>&lt;OS3&gt;</w:t>
      </w:r>
      <w:r w:rsidRPr="005C22DE">
        <w:rPr>
          <w:sz w:val="24"/>
          <w:szCs w:val="24"/>
        </w:rPr>
        <w:tab/>
        <w:t xml:space="preserve">« José Martí et la Communauté des Etats latino-américains et de la Caraïbe (CELAC) », dans Dubesset E. ; M. Moreau (dir.), </w:t>
      </w:r>
      <w:r w:rsidRPr="005C22DE">
        <w:rPr>
          <w:i/>
          <w:sz w:val="24"/>
          <w:szCs w:val="24"/>
        </w:rPr>
        <w:t>Cuba dans les Amériques. Relire José Martí au seuil du XXI</w:t>
      </w:r>
      <w:r w:rsidRPr="005C22DE">
        <w:rPr>
          <w:i/>
          <w:sz w:val="24"/>
          <w:szCs w:val="24"/>
          <w:vertAlign w:val="superscript"/>
        </w:rPr>
        <w:t>e</w:t>
      </w:r>
      <w:r w:rsidRPr="005C22DE">
        <w:rPr>
          <w:i/>
          <w:sz w:val="24"/>
          <w:szCs w:val="24"/>
        </w:rPr>
        <w:t xml:space="preserve"> siècle, </w:t>
      </w:r>
      <w:r w:rsidRPr="005C22DE">
        <w:rPr>
          <w:sz w:val="24"/>
          <w:szCs w:val="24"/>
        </w:rPr>
        <w:t xml:space="preserve">Collection de la Maison des Pays ibériques, Série Amériques, Pessac, Presses Universitaires de Bordeaux, 2015, </w:t>
      </w:r>
      <w:r>
        <w:rPr>
          <w:sz w:val="24"/>
          <w:szCs w:val="24"/>
        </w:rPr>
        <w:t>pp. 17-24, (sous presse).</w:t>
      </w:r>
    </w:p>
    <w:p w:rsidR="005D5B57" w:rsidRPr="000F3A45" w:rsidRDefault="005D5B57" w:rsidP="005D5B57">
      <w:pPr>
        <w:spacing w:before="120"/>
        <w:ind w:left="1418" w:right="-11" w:hanging="1418"/>
        <w:rPr>
          <w:sz w:val="24"/>
          <w:szCs w:val="24"/>
        </w:rPr>
      </w:pPr>
      <w:r w:rsidRPr="00C11339">
        <w:t>&lt;OS4&gt;</w:t>
      </w:r>
      <w:r w:rsidRPr="00C11339">
        <w:tab/>
      </w:r>
      <w:r w:rsidRPr="000B4FAD">
        <w:rPr>
          <w:sz w:val="24"/>
          <w:szCs w:val="24"/>
        </w:rPr>
        <w:t xml:space="preserve">« Mobilités caribéennes en perspective historique et géopolitique », </w:t>
      </w:r>
      <w:r>
        <w:rPr>
          <w:sz w:val="24"/>
          <w:szCs w:val="24"/>
        </w:rPr>
        <w:t xml:space="preserve">dans Vitale, P (dir.), </w:t>
      </w:r>
      <w:r w:rsidRPr="000F3A45">
        <w:rPr>
          <w:i/>
          <w:sz w:val="24"/>
          <w:szCs w:val="24"/>
        </w:rPr>
        <w:t>Mobilités ultramarines</w:t>
      </w:r>
      <w:r>
        <w:rPr>
          <w:sz w:val="24"/>
          <w:szCs w:val="24"/>
        </w:rPr>
        <w:t xml:space="preserve">, Ed. des </w:t>
      </w:r>
      <w:r w:rsidRPr="000F3A45">
        <w:rPr>
          <w:sz w:val="24"/>
          <w:szCs w:val="24"/>
        </w:rPr>
        <w:t xml:space="preserve">Archives contemporaines, Paris, 2014, </w:t>
      </w:r>
      <w:r>
        <w:rPr>
          <w:sz w:val="24"/>
          <w:szCs w:val="24"/>
        </w:rPr>
        <w:t>pp.77-86.</w:t>
      </w:r>
    </w:p>
    <w:p w:rsidR="005D5B57" w:rsidRPr="000C5511" w:rsidRDefault="005D5B57" w:rsidP="005D5B57">
      <w:pPr>
        <w:pStyle w:val="Notedebasdepage"/>
        <w:spacing w:before="120" w:after="200" w:line="276" w:lineRule="auto"/>
        <w:ind w:left="1418" w:right="-11" w:hanging="1418"/>
        <w:jc w:val="both"/>
        <w:rPr>
          <w:sz w:val="24"/>
          <w:szCs w:val="24"/>
          <w:lang w:val="es-ES"/>
        </w:rPr>
      </w:pPr>
      <w:r w:rsidRPr="000B4FAD">
        <w:rPr>
          <w:sz w:val="22"/>
          <w:szCs w:val="22"/>
          <w:lang w:val="es-PR"/>
        </w:rPr>
        <w:t>&lt;OS</w:t>
      </w:r>
      <w:r>
        <w:rPr>
          <w:sz w:val="22"/>
          <w:szCs w:val="22"/>
          <w:lang w:val="es-PR"/>
        </w:rPr>
        <w:t>5</w:t>
      </w:r>
      <w:r w:rsidRPr="000B4FAD">
        <w:rPr>
          <w:sz w:val="22"/>
          <w:szCs w:val="22"/>
          <w:lang w:val="es-PR"/>
        </w:rPr>
        <w:t>&gt;</w:t>
      </w:r>
      <w:r>
        <w:rPr>
          <w:lang w:val="es-PR"/>
        </w:rPr>
        <w:tab/>
      </w:r>
      <w:r w:rsidRPr="000B4FAD">
        <w:rPr>
          <w:sz w:val="24"/>
          <w:szCs w:val="24"/>
          <w:lang w:val="es-PR"/>
        </w:rPr>
        <w:t xml:space="preserve">« </w:t>
      </w:r>
      <w:r w:rsidRPr="000B4FAD">
        <w:rPr>
          <w:sz w:val="24"/>
          <w:szCs w:val="24"/>
          <w:lang w:val="es-MX"/>
        </w:rPr>
        <w:t xml:space="preserve">El populismo en Latinoamérica. Una vía de estudios posible para entender mejor los brotes populistas en Europa », dans E. </w:t>
      </w:r>
      <w:r w:rsidRPr="000B4FAD">
        <w:rPr>
          <w:sz w:val="24"/>
          <w:szCs w:val="24"/>
          <w:lang w:val="es-ES"/>
        </w:rPr>
        <w:t xml:space="preserve">Dubesset et L. Majlátová (dir.). </w:t>
      </w:r>
      <w:r w:rsidRPr="000C5511">
        <w:rPr>
          <w:i/>
          <w:sz w:val="24"/>
          <w:szCs w:val="24"/>
          <w:lang w:val="es-ES"/>
        </w:rPr>
        <w:t>El populismo en Latinoamérica. Teorías, historia y valores</w:t>
      </w:r>
      <w:r w:rsidRPr="000C5511">
        <w:rPr>
          <w:sz w:val="24"/>
          <w:szCs w:val="24"/>
          <w:lang w:val="es-ES"/>
        </w:rPr>
        <w:t>, Centre Montesquieu de Recherches Politiques (CMRP)/Institut des Amériques (IDA), Pessac, Presses Universitaires de Bordeaux, 2012, pp.13-20.</w:t>
      </w:r>
    </w:p>
    <w:p w:rsidR="005D5B57" w:rsidRPr="000C5511" w:rsidRDefault="005D5B57" w:rsidP="005D5B57">
      <w:pPr>
        <w:pStyle w:val="Notedebasdepage"/>
        <w:spacing w:before="120" w:after="200" w:line="276" w:lineRule="auto"/>
        <w:ind w:left="1418" w:right="-11" w:hanging="1418"/>
        <w:jc w:val="both"/>
        <w:rPr>
          <w:sz w:val="24"/>
          <w:szCs w:val="24"/>
          <w:lang w:val="es-ES"/>
        </w:rPr>
      </w:pPr>
      <w:r w:rsidRPr="00075E54">
        <w:rPr>
          <w:sz w:val="22"/>
          <w:szCs w:val="22"/>
          <w:lang w:val="es-ES"/>
        </w:rPr>
        <w:t>&lt;OS6&gt;</w:t>
      </w:r>
      <w:r>
        <w:rPr>
          <w:lang w:val="es-PR"/>
        </w:rPr>
        <w:tab/>
      </w:r>
      <w:r w:rsidRPr="000B4FAD">
        <w:rPr>
          <w:sz w:val="24"/>
          <w:szCs w:val="24"/>
          <w:lang w:val="es-MX"/>
        </w:rPr>
        <w:t>“</w:t>
      </w:r>
      <w:r w:rsidRPr="000B4FAD">
        <w:rPr>
          <w:sz w:val="24"/>
          <w:szCs w:val="24"/>
          <w:lang w:val="es-ES"/>
        </w:rPr>
        <w:t xml:space="preserve">El resurgimiento del populismo en el Caribe hispano: Una aproximación a los paradigmas uribista y chavista”, dans E. Dubesset et L. Majlátová (dir.). </w:t>
      </w:r>
      <w:r w:rsidRPr="000C5511">
        <w:rPr>
          <w:i/>
          <w:sz w:val="24"/>
          <w:szCs w:val="24"/>
          <w:lang w:val="es-ES"/>
        </w:rPr>
        <w:t>El populismo en Latinoamérica. Teorías, historia y valores</w:t>
      </w:r>
      <w:r w:rsidRPr="000C5511">
        <w:rPr>
          <w:sz w:val="24"/>
          <w:szCs w:val="24"/>
          <w:lang w:val="es-ES"/>
        </w:rPr>
        <w:t>, Centre Montesquieu de Recherches Politiques (CMRP)/Institut des Amériques (IDA), Pessac, Presses Universitaires de Bordeaux, 2012, pp. 185-198.</w:t>
      </w:r>
    </w:p>
    <w:p w:rsidR="005D5B57" w:rsidRPr="007360C7" w:rsidRDefault="005D5B57" w:rsidP="005D5B57">
      <w:pPr>
        <w:spacing w:before="120"/>
        <w:ind w:left="1418" w:right="-11" w:hanging="1418"/>
        <w:rPr>
          <w:sz w:val="24"/>
          <w:szCs w:val="24"/>
        </w:rPr>
      </w:pPr>
      <w:r w:rsidRPr="00772696">
        <w:t>&lt;OS7&gt;</w:t>
      </w:r>
      <w:r>
        <w:tab/>
      </w:r>
      <w:r w:rsidRPr="007360C7">
        <w:rPr>
          <w:sz w:val="24"/>
          <w:szCs w:val="24"/>
        </w:rPr>
        <w:t>« La Caraïbe dans un ordre mondial en mutations : Coopération et/ou intégration régionale(s)? », dans Dubesset E</w:t>
      </w:r>
      <w:r>
        <w:rPr>
          <w:sz w:val="24"/>
          <w:szCs w:val="24"/>
        </w:rPr>
        <w:t>.</w:t>
      </w:r>
      <w:r w:rsidRPr="007360C7">
        <w:rPr>
          <w:sz w:val="24"/>
          <w:szCs w:val="24"/>
        </w:rPr>
        <w:t xml:space="preserve"> et R. Lucas (dir.), </w:t>
      </w:r>
      <w:r w:rsidRPr="007360C7">
        <w:rPr>
          <w:i/>
          <w:sz w:val="24"/>
          <w:szCs w:val="24"/>
        </w:rPr>
        <w:t>La Caraïbe dans la mondialisation : quelles dynamiques régionalistes ?</w:t>
      </w:r>
      <w:r w:rsidRPr="007360C7">
        <w:rPr>
          <w:sz w:val="24"/>
          <w:szCs w:val="24"/>
        </w:rPr>
        <w:t>, Paris</w:t>
      </w:r>
      <w:r>
        <w:rPr>
          <w:sz w:val="24"/>
          <w:szCs w:val="24"/>
        </w:rPr>
        <w:t>,</w:t>
      </w:r>
      <w:r w:rsidRPr="007360C7">
        <w:rPr>
          <w:sz w:val="24"/>
          <w:szCs w:val="24"/>
        </w:rPr>
        <w:t xml:space="preserve"> L’Harmattan, 2011, pp. 11-20 (avec Christian Lerat et Rafael Lucas).</w:t>
      </w:r>
    </w:p>
    <w:p w:rsidR="005D5B57" w:rsidRPr="000B4FAD" w:rsidRDefault="005D5B57" w:rsidP="005D5B57">
      <w:pPr>
        <w:pStyle w:val="yiv241490000msonormal"/>
        <w:spacing w:before="120" w:beforeAutospacing="0" w:after="200" w:afterAutospacing="0" w:line="276" w:lineRule="auto"/>
        <w:ind w:left="1418" w:right="-11" w:hanging="1418"/>
        <w:jc w:val="both"/>
      </w:pPr>
      <w:r w:rsidRPr="00772696">
        <w:rPr>
          <w:sz w:val="22"/>
          <w:szCs w:val="22"/>
        </w:rPr>
        <w:t>&lt;OS8&gt;</w:t>
      </w:r>
      <w:r>
        <w:tab/>
      </w:r>
      <w:r w:rsidRPr="000B4FAD">
        <w:t xml:space="preserve">« Démesure et mesure  du Mexique dans l’espace caribéen», </w:t>
      </w:r>
      <w:r>
        <w:t>dans</w:t>
      </w:r>
      <w:r w:rsidRPr="000B4FAD">
        <w:t xml:space="preserve"> Dubesset E</w:t>
      </w:r>
      <w:r>
        <w:t>.</w:t>
      </w:r>
      <w:r w:rsidRPr="000B4FAD">
        <w:t xml:space="preserve"> et R. Lucas (dir.), </w:t>
      </w:r>
      <w:r w:rsidRPr="000B4FAD">
        <w:rPr>
          <w:i/>
        </w:rPr>
        <w:t>La Caraïbe dans la mondialisation : quelles dynamiques régionalistes ?</w:t>
      </w:r>
      <w:r w:rsidRPr="000B4FAD">
        <w:t>, Paris</w:t>
      </w:r>
      <w:r>
        <w:t>,</w:t>
      </w:r>
      <w:r w:rsidRPr="000B4FAD">
        <w:t xml:space="preserve"> L’Harmattan, 2011, pp. 39-52. </w:t>
      </w:r>
    </w:p>
    <w:p w:rsidR="005D5B57" w:rsidRPr="000B4FAD" w:rsidRDefault="005D5B57" w:rsidP="005D5B57">
      <w:pPr>
        <w:spacing w:before="120"/>
        <w:ind w:left="1418" w:right="-11" w:hanging="1418"/>
        <w:rPr>
          <w:sz w:val="24"/>
          <w:szCs w:val="24"/>
        </w:rPr>
      </w:pPr>
      <w:r w:rsidRPr="000B4FAD">
        <w:t>&lt;OS</w:t>
      </w:r>
      <w:r>
        <w:t>9</w:t>
      </w:r>
      <w:r w:rsidRPr="000B4FAD">
        <w:t>&gt;</w:t>
      </w:r>
      <w:r>
        <w:tab/>
      </w:r>
      <w:r w:rsidRPr="000B4FAD">
        <w:rPr>
          <w:sz w:val="24"/>
          <w:szCs w:val="24"/>
        </w:rPr>
        <w:t xml:space="preserve">« Le pétrole vénézuélien comme levier d’émancipation géopolitique», dans Elyette Benjamin-Labarthe, Eric Dubesset, (dir.), </w:t>
      </w:r>
      <w:r w:rsidRPr="000B4FAD">
        <w:rPr>
          <w:i/>
          <w:sz w:val="24"/>
          <w:szCs w:val="24"/>
        </w:rPr>
        <w:t>Emancipations caribéennes. Histoire, mémoire, enjeux socio-économiques et géopolitiques,</w:t>
      </w:r>
      <w:r w:rsidRPr="000B4FAD">
        <w:rPr>
          <w:sz w:val="24"/>
          <w:szCs w:val="24"/>
        </w:rPr>
        <w:t xml:space="preserve"> Paris</w:t>
      </w:r>
      <w:r>
        <w:rPr>
          <w:sz w:val="24"/>
          <w:szCs w:val="24"/>
        </w:rPr>
        <w:t>,</w:t>
      </w:r>
      <w:r w:rsidRPr="000B4FAD">
        <w:rPr>
          <w:sz w:val="24"/>
          <w:szCs w:val="24"/>
        </w:rPr>
        <w:t xml:space="preserve"> L’Harmattan, 2010, pp. 295-308.</w:t>
      </w:r>
    </w:p>
    <w:p w:rsidR="005D5B57" w:rsidRPr="00FD4083" w:rsidRDefault="005D5B57" w:rsidP="005D5B57">
      <w:pPr>
        <w:tabs>
          <w:tab w:val="left" w:pos="1985"/>
        </w:tabs>
        <w:spacing w:before="120"/>
        <w:ind w:left="1418" w:right="-11" w:hanging="1418"/>
        <w:rPr>
          <w:sz w:val="24"/>
          <w:szCs w:val="24"/>
        </w:rPr>
      </w:pPr>
    </w:p>
    <w:p w:rsidR="005D5B57" w:rsidRPr="0016642A" w:rsidRDefault="005D5B57" w:rsidP="005D5B57">
      <w:pPr>
        <w:ind w:left="1418" w:right="-11" w:hanging="1418"/>
        <w:rPr>
          <w:b/>
          <w:sz w:val="24"/>
          <w:szCs w:val="24"/>
        </w:rPr>
      </w:pPr>
      <w:r w:rsidRPr="0016642A">
        <w:rPr>
          <w:b/>
          <w:sz w:val="24"/>
          <w:szCs w:val="24"/>
        </w:rPr>
        <w:t>Articles dans des revues avec comité de lecture (ACL)</w:t>
      </w:r>
    </w:p>
    <w:p w:rsidR="005D5B57" w:rsidRDefault="005D5B57" w:rsidP="005D5B57">
      <w:pPr>
        <w:spacing w:before="120"/>
        <w:ind w:left="1418" w:right="-11" w:hanging="1418"/>
        <w:rPr>
          <w:sz w:val="24"/>
          <w:szCs w:val="24"/>
        </w:rPr>
      </w:pPr>
      <w:r w:rsidRPr="009028F6">
        <w:t>&lt;ACL</w:t>
      </w:r>
      <w:r>
        <w:t>1</w:t>
      </w:r>
      <w:r w:rsidRPr="009028F6">
        <w:t>&gt;</w:t>
      </w:r>
      <w:r w:rsidRPr="00FD4083">
        <w:rPr>
          <w:sz w:val="24"/>
          <w:szCs w:val="24"/>
        </w:rPr>
        <w:t xml:space="preserve"> </w:t>
      </w:r>
      <w:r>
        <w:rPr>
          <w:sz w:val="24"/>
          <w:szCs w:val="24"/>
        </w:rPr>
        <w:tab/>
      </w:r>
      <w:r w:rsidRPr="00FD4083">
        <w:rPr>
          <w:sz w:val="24"/>
          <w:szCs w:val="24"/>
        </w:rPr>
        <w:t xml:space="preserve">« Uribisme (Colombie) et chavisme (Venezuela) : éléments de comparaison de deux récents populismes latino-américains », </w:t>
      </w:r>
      <w:r w:rsidRPr="00FD4083">
        <w:rPr>
          <w:i/>
          <w:sz w:val="24"/>
          <w:szCs w:val="24"/>
        </w:rPr>
        <w:t>Politeia</w:t>
      </w:r>
      <w:r w:rsidRPr="00FD4083">
        <w:rPr>
          <w:sz w:val="24"/>
          <w:szCs w:val="24"/>
        </w:rPr>
        <w:t>, numéro spécial consacré aux « populismes d’hier et d’aujourd’hui » coordonné par E. Dubesset et G. Dussouy, n°24, 2013, pp.219-228.</w:t>
      </w:r>
    </w:p>
    <w:p w:rsidR="005D5B57" w:rsidRPr="00FD4083" w:rsidRDefault="005D5B57" w:rsidP="005D5B57">
      <w:pPr>
        <w:spacing w:before="120"/>
        <w:ind w:left="1418" w:right="-11" w:hanging="1418"/>
        <w:rPr>
          <w:sz w:val="24"/>
          <w:szCs w:val="24"/>
        </w:rPr>
      </w:pPr>
      <w:r w:rsidRPr="009028F6">
        <w:t>&lt;ACL</w:t>
      </w:r>
      <w:r>
        <w:t>2</w:t>
      </w:r>
      <w:r w:rsidRPr="009028F6">
        <w:t xml:space="preserve">&gt; </w:t>
      </w:r>
      <w:r>
        <w:tab/>
      </w:r>
      <w:r w:rsidRPr="00FD4083">
        <w:rPr>
          <w:sz w:val="24"/>
          <w:szCs w:val="24"/>
        </w:rPr>
        <w:t xml:space="preserve">« Mouvements et mouvances de l’identité régionale caribéenne », </w:t>
      </w:r>
      <w:r w:rsidRPr="00FD4083">
        <w:rPr>
          <w:i/>
          <w:sz w:val="24"/>
          <w:szCs w:val="24"/>
        </w:rPr>
        <w:t>Caribbean Studies</w:t>
      </w:r>
      <w:r w:rsidRPr="00FD4083">
        <w:rPr>
          <w:sz w:val="24"/>
          <w:szCs w:val="24"/>
        </w:rPr>
        <w:t>, Vol. 41, n°1, enero-junio 2013, San Juan (Porto Rico), pp. 137-178.</w:t>
      </w:r>
    </w:p>
    <w:p w:rsidR="005D5B57" w:rsidRDefault="005D5B57" w:rsidP="005D5B57">
      <w:pPr>
        <w:ind w:left="1418" w:right="-11" w:hanging="1418"/>
        <w:rPr>
          <w:b/>
          <w:sz w:val="24"/>
          <w:szCs w:val="24"/>
        </w:rPr>
      </w:pPr>
    </w:p>
    <w:p w:rsidR="005D5B57" w:rsidRPr="0016642A" w:rsidRDefault="005D5B57" w:rsidP="005D5B57">
      <w:pPr>
        <w:ind w:left="1418" w:right="-11" w:hanging="1418"/>
        <w:rPr>
          <w:b/>
          <w:sz w:val="24"/>
          <w:szCs w:val="24"/>
        </w:rPr>
      </w:pPr>
      <w:r w:rsidRPr="0016642A">
        <w:rPr>
          <w:b/>
          <w:sz w:val="24"/>
          <w:szCs w:val="24"/>
        </w:rPr>
        <w:t>Autres revues (AR)</w:t>
      </w:r>
    </w:p>
    <w:p w:rsidR="005D5B57" w:rsidRPr="00FD4083" w:rsidRDefault="005D5B57" w:rsidP="005D5B57">
      <w:pPr>
        <w:spacing w:before="120"/>
        <w:ind w:left="1418" w:right="-11" w:hanging="1418"/>
        <w:rPr>
          <w:sz w:val="24"/>
          <w:szCs w:val="24"/>
        </w:rPr>
      </w:pPr>
      <w:r w:rsidRPr="009028F6">
        <w:t>&lt;AR</w:t>
      </w:r>
      <w:r>
        <w:t>1</w:t>
      </w:r>
      <w:r w:rsidRPr="009028F6">
        <w:t>&gt;</w:t>
      </w:r>
      <w:r w:rsidRPr="00FD4083">
        <w:rPr>
          <w:sz w:val="24"/>
          <w:szCs w:val="24"/>
        </w:rPr>
        <w:t xml:space="preserve"> </w:t>
      </w:r>
      <w:r>
        <w:rPr>
          <w:sz w:val="24"/>
          <w:szCs w:val="24"/>
        </w:rPr>
        <w:tab/>
      </w:r>
      <w:r w:rsidRPr="00FD4083">
        <w:rPr>
          <w:sz w:val="24"/>
          <w:szCs w:val="24"/>
        </w:rPr>
        <w:t xml:space="preserve">« L’éternel retour du populisme en Amérique latine et en Europe », </w:t>
      </w:r>
      <w:r w:rsidRPr="00FD4083">
        <w:rPr>
          <w:i/>
          <w:sz w:val="24"/>
          <w:szCs w:val="24"/>
        </w:rPr>
        <w:t>Diplomatie</w:t>
      </w:r>
      <w:r w:rsidRPr="00FD4083">
        <w:rPr>
          <w:sz w:val="24"/>
          <w:szCs w:val="24"/>
        </w:rPr>
        <w:t>, Revue d’Affaires stratégiques et de relations internationales, n°67, mars-avril 2014, n°67, pp.20-24.</w:t>
      </w:r>
    </w:p>
    <w:p w:rsidR="005D5B57" w:rsidRPr="00FD4083" w:rsidRDefault="005D5B57" w:rsidP="005D5B57">
      <w:pPr>
        <w:spacing w:before="120"/>
        <w:ind w:left="1418" w:right="-11" w:hanging="1418"/>
        <w:rPr>
          <w:smallCaps/>
          <w:sz w:val="24"/>
          <w:szCs w:val="24"/>
        </w:rPr>
      </w:pPr>
      <w:r w:rsidRPr="009028F6">
        <w:t>&lt;AR</w:t>
      </w:r>
      <w:r>
        <w:t>2</w:t>
      </w:r>
      <w:r w:rsidRPr="009028F6">
        <w:t>&gt;</w:t>
      </w:r>
      <w:r w:rsidRPr="00FD4083">
        <w:rPr>
          <w:sz w:val="24"/>
          <w:szCs w:val="24"/>
        </w:rPr>
        <w:t xml:space="preserve"> </w:t>
      </w:r>
      <w:r>
        <w:rPr>
          <w:sz w:val="24"/>
          <w:szCs w:val="24"/>
        </w:rPr>
        <w:tab/>
      </w:r>
      <w:r w:rsidRPr="00FD4083">
        <w:rPr>
          <w:smallCaps/>
          <w:sz w:val="24"/>
          <w:szCs w:val="24"/>
        </w:rPr>
        <w:t>« </w:t>
      </w:r>
      <w:r w:rsidRPr="00FD4083">
        <w:rPr>
          <w:sz w:val="24"/>
          <w:szCs w:val="24"/>
        </w:rPr>
        <w:t xml:space="preserve">Réformes à Cuba : la persistance dans le changement », </w:t>
      </w:r>
      <w:r w:rsidRPr="00FD4083">
        <w:rPr>
          <w:i/>
          <w:sz w:val="24"/>
          <w:szCs w:val="24"/>
        </w:rPr>
        <w:t>Diplomatie</w:t>
      </w:r>
      <w:r w:rsidRPr="00FD4083">
        <w:rPr>
          <w:sz w:val="24"/>
          <w:szCs w:val="24"/>
        </w:rPr>
        <w:t>, Revue d’Affaires stratégiques et de relations internationales, n°64, septembre-octobre 2013, pp.22-25.</w:t>
      </w:r>
    </w:p>
    <w:p w:rsidR="005D5B57" w:rsidRPr="00FD4083" w:rsidRDefault="005D5B57" w:rsidP="005D5B57">
      <w:pPr>
        <w:spacing w:before="120"/>
        <w:ind w:left="1418" w:right="-11" w:hanging="1418"/>
        <w:rPr>
          <w:smallCaps/>
          <w:sz w:val="24"/>
          <w:szCs w:val="24"/>
        </w:rPr>
      </w:pPr>
      <w:r w:rsidRPr="009028F6">
        <w:t>&lt;AR</w:t>
      </w:r>
      <w:r>
        <w:t>3</w:t>
      </w:r>
      <w:r w:rsidRPr="009028F6">
        <w:t>&gt;</w:t>
      </w:r>
      <w:r w:rsidRPr="00FD4083">
        <w:rPr>
          <w:sz w:val="24"/>
          <w:szCs w:val="24"/>
        </w:rPr>
        <w:t xml:space="preserve"> </w:t>
      </w:r>
      <w:r>
        <w:rPr>
          <w:sz w:val="24"/>
          <w:szCs w:val="24"/>
        </w:rPr>
        <w:tab/>
      </w:r>
      <w:r w:rsidRPr="00FD4083">
        <w:rPr>
          <w:sz w:val="24"/>
          <w:szCs w:val="24"/>
        </w:rPr>
        <w:t>« Pouvoirs des femmes en Amérique latine</w:t>
      </w:r>
      <w:r w:rsidRPr="00FD4083">
        <w:rPr>
          <w:smallCaps/>
          <w:sz w:val="24"/>
          <w:szCs w:val="24"/>
        </w:rPr>
        <w:t xml:space="preserve"> », </w:t>
      </w:r>
      <w:r w:rsidRPr="00FD4083">
        <w:rPr>
          <w:i/>
          <w:sz w:val="24"/>
          <w:szCs w:val="24"/>
        </w:rPr>
        <w:t>Aquisu</w:t>
      </w:r>
      <w:r>
        <w:rPr>
          <w:i/>
          <w:sz w:val="24"/>
          <w:szCs w:val="24"/>
        </w:rPr>
        <w:t xml:space="preserve">d, </w:t>
      </w:r>
      <w:r w:rsidRPr="0010645A">
        <w:rPr>
          <w:sz w:val="24"/>
          <w:szCs w:val="24"/>
        </w:rPr>
        <w:t>Avril-Mai-Juin 2013</w:t>
      </w:r>
      <w:r>
        <w:rPr>
          <w:smallCaps/>
          <w:sz w:val="24"/>
          <w:szCs w:val="24"/>
        </w:rPr>
        <w:t xml:space="preserve">, </w:t>
      </w:r>
      <w:r w:rsidRPr="00FD4083">
        <w:rPr>
          <w:sz w:val="24"/>
          <w:szCs w:val="24"/>
        </w:rPr>
        <w:t>pp.</w:t>
      </w:r>
      <w:r>
        <w:rPr>
          <w:smallCaps/>
          <w:sz w:val="24"/>
          <w:szCs w:val="24"/>
        </w:rPr>
        <w:t>22-23</w:t>
      </w:r>
    </w:p>
    <w:p w:rsidR="005D5B57" w:rsidRPr="00FD4083" w:rsidRDefault="005D5B57" w:rsidP="005D5B57">
      <w:pPr>
        <w:spacing w:before="120"/>
        <w:ind w:left="1418" w:right="-11" w:hanging="1418"/>
        <w:rPr>
          <w:smallCaps/>
          <w:sz w:val="24"/>
          <w:szCs w:val="24"/>
        </w:rPr>
      </w:pPr>
    </w:p>
    <w:p w:rsidR="005D5B57" w:rsidRPr="0016642A" w:rsidRDefault="005D5B57" w:rsidP="005D5B57">
      <w:pPr>
        <w:ind w:left="1418" w:right="-11" w:hanging="1418"/>
        <w:rPr>
          <w:b/>
          <w:sz w:val="24"/>
          <w:szCs w:val="24"/>
        </w:rPr>
      </w:pPr>
      <w:r w:rsidRPr="0016642A">
        <w:rPr>
          <w:b/>
          <w:sz w:val="24"/>
          <w:szCs w:val="24"/>
        </w:rPr>
        <w:t>Articles en ligne  (AL)</w:t>
      </w:r>
    </w:p>
    <w:p w:rsidR="005D5B57" w:rsidRPr="00B83C80" w:rsidRDefault="005D5B57" w:rsidP="005D5B57">
      <w:pPr>
        <w:pStyle w:val="NormalWeb"/>
        <w:spacing w:before="120" w:after="200" w:line="276" w:lineRule="auto"/>
        <w:ind w:left="1418" w:right="-11" w:hanging="1418"/>
        <w:jc w:val="both"/>
        <w:rPr>
          <w:rFonts w:ascii="Times New Roman" w:hAnsi="Times New Roman" w:cs="Times New Roman"/>
          <w:color w:val="auto"/>
          <w:sz w:val="24"/>
          <w:szCs w:val="24"/>
        </w:rPr>
      </w:pPr>
      <w:r w:rsidRPr="00EF683F">
        <w:rPr>
          <w:rFonts w:ascii="Times New Roman" w:hAnsi="Times New Roman"/>
          <w:sz w:val="22"/>
          <w:szCs w:val="22"/>
        </w:rPr>
        <w:t>&lt;AL</w:t>
      </w:r>
      <w:r>
        <w:rPr>
          <w:rFonts w:ascii="Times New Roman" w:hAnsi="Times New Roman"/>
          <w:sz w:val="22"/>
          <w:szCs w:val="22"/>
        </w:rPr>
        <w:t>1</w:t>
      </w:r>
      <w:r w:rsidRPr="00EF683F">
        <w:rPr>
          <w:rFonts w:ascii="Times New Roman" w:hAnsi="Times New Roman"/>
          <w:sz w:val="22"/>
          <w:szCs w:val="22"/>
        </w:rPr>
        <w:t>&gt;</w:t>
      </w:r>
      <w:r w:rsidRPr="00B83C80">
        <w:rPr>
          <w:rFonts w:ascii="Times New Roman" w:hAnsi="Times New Roman" w:cs="Times New Roman"/>
          <w:sz w:val="24"/>
          <w:szCs w:val="24"/>
        </w:rPr>
        <w:t xml:space="preserve"> </w:t>
      </w:r>
      <w:r>
        <w:rPr>
          <w:rFonts w:ascii="Times New Roman" w:hAnsi="Times New Roman" w:cs="Times New Roman"/>
          <w:sz w:val="24"/>
          <w:szCs w:val="24"/>
        </w:rPr>
        <w:tab/>
        <w:t>« </w:t>
      </w:r>
      <w:r w:rsidRPr="00B83C80">
        <w:rPr>
          <w:rFonts w:ascii="Times New Roman" w:hAnsi="Times New Roman" w:cs="Times New Roman"/>
          <w:sz w:val="24"/>
          <w:szCs w:val="24"/>
        </w:rPr>
        <w:t xml:space="preserve">Penser autrement l’identité régionale caribéenne », </w:t>
      </w:r>
      <w:r w:rsidRPr="00925471">
        <w:rPr>
          <w:rStyle w:val="Accentuation"/>
          <w:rFonts w:ascii="Times New Roman" w:hAnsi="Times New Roman" w:cs="Times New Roman"/>
          <w:sz w:val="24"/>
          <w:szCs w:val="24"/>
        </w:rPr>
        <w:t>Études caribéennes</w:t>
      </w:r>
      <w:r w:rsidRPr="00925471">
        <w:rPr>
          <w:rFonts w:ascii="Times New Roman" w:hAnsi="Times New Roman" w:cs="Times New Roman"/>
          <w:sz w:val="24"/>
          <w:szCs w:val="24"/>
        </w:rPr>
        <w:t>, 21 |</w:t>
      </w:r>
      <w:r w:rsidRPr="00B83C80">
        <w:rPr>
          <w:rFonts w:ascii="Times New Roman" w:hAnsi="Times New Roman" w:cs="Times New Roman"/>
          <w:sz w:val="24"/>
          <w:szCs w:val="24"/>
        </w:rPr>
        <w:t xml:space="preserve"> Avril 2012, mis en ligne le 24 mai 2013, </w:t>
      </w:r>
      <w:r>
        <w:rPr>
          <w:rFonts w:ascii="Times New Roman" w:hAnsi="Times New Roman" w:cs="Times New Roman"/>
          <w:sz w:val="24"/>
          <w:szCs w:val="24"/>
        </w:rPr>
        <w:t>(</w:t>
      </w:r>
      <w:r w:rsidRPr="00B83C80">
        <w:rPr>
          <w:rFonts w:ascii="Times New Roman" w:hAnsi="Times New Roman" w:cs="Times New Roman"/>
          <w:sz w:val="24"/>
          <w:szCs w:val="24"/>
        </w:rPr>
        <w:t>URL : http://etudescaribeennes.revues.org/5739</w:t>
      </w:r>
      <w:r>
        <w:rPr>
          <w:rFonts w:ascii="Times New Roman" w:hAnsi="Times New Roman" w:cs="Times New Roman"/>
          <w:sz w:val="24"/>
          <w:szCs w:val="24"/>
        </w:rPr>
        <w:t>)</w:t>
      </w:r>
      <w:r w:rsidRPr="00B83C80">
        <w:rPr>
          <w:rFonts w:ascii="Times New Roman" w:hAnsi="Times New Roman" w:cs="Times New Roman"/>
          <w:sz w:val="24"/>
          <w:szCs w:val="24"/>
        </w:rPr>
        <w:t xml:space="preserve">  </w:t>
      </w:r>
      <w:r w:rsidRPr="00B83C80">
        <w:rPr>
          <w:rFonts w:ascii="Times New Roman" w:hAnsi="Times New Roman" w:cs="Times New Roman"/>
          <w:color w:val="auto"/>
          <w:sz w:val="24"/>
          <w:szCs w:val="24"/>
        </w:rPr>
        <w:t xml:space="preserve"> </w:t>
      </w:r>
    </w:p>
    <w:p w:rsidR="005D5B57" w:rsidRPr="00FD4083" w:rsidRDefault="005D5B57" w:rsidP="005D5B57">
      <w:pPr>
        <w:pStyle w:val="NormalWeb"/>
        <w:spacing w:before="120" w:after="200" w:line="276" w:lineRule="auto"/>
        <w:ind w:left="1418" w:right="-11" w:hanging="1418"/>
        <w:jc w:val="both"/>
        <w:rPr>
          <w:rFonts w:ascii="Times New Roman" w:hAnsi="Times New Roman" w:cs="Times New Roman"/>
          <w:color w:val="auto"/>
          <w:sz w:val="24"/>
          <w:szCs w:val="24"/>
          <w:lang w:val="es-ES"/>
        </w:rPr>
      </w:pPr>
      <w:r w:rsidRPr="00EF683F">
        <w:rPr>
          <w:rFonts w:ascii="Times New Roman" w:hAnsi="Times New Roman"/>
          <w:sz w:val="22"/>
          <w:szCs w:val="22"/>
          <w:lang w:val="es-PR"/>
        </w:rPr>
        <w:t>&lt;AL</w:t>
      </w:r>
      <w:r>
        <w:rPr>
          <w:rFonts w:ascii="Times New Roman" w:hAnsi="Times New Roman"/>
          <w:sz w:val="22"/>
          <w:szCs w:val="22"/>
          <w:lang w:val="es-PR"/>
        </w:rPr>
        <w:t>2</w:t>
      </w:r>
      <w:r w:rsidRPr="00EF683F">
        <w:rPr>
          <w:rFonts w:ascii="Times New Roman" w:hAnsi="Times New Roman"/>
          <w:sz w:val="22"/>
          <w:szCs w:val="22"/>
          <w:lang w:val="es-PR"/>
        </w:rPr>
        <w:t>&gt;</w:t>
      </w:r>
      <w:r>
        <w:rPr>
          <w:rFonts w:ascii="Times New Roman" w:hAnsi="Times New Roman" w:cs="Times New Roman"/>
          <w:sz w:val="24"/>
          <w:szCs w:val="24"/>
          <w:lang w:val="es-PR"/>
        </w:rPr>
        <w:t xml:space="preserve"> </w:t>
      </w:r>
      <w:r>
        <w:rPr>
          <w:rFonts w:ascii="Times New Roman" w:hAnsi="Times New Roman" w:cs="Times New Roman"/>
          <w:sz w:val="24"/>
          <w:szCs w:val="24"/>
          <w:lang w:val="es-PR"/>
        </w:rPr>
        <w:tab/>
      </w:r>
      <w:r w:rsidRPr="00EF683F">
        <w:rPr>
          <w:rFonts w:ascii="Times New Roman" w:hAnsi="Times New Roman" w:cs="Times New Roman"/>
          <w:sz w:val="24"/>
          <w:szCs w:val="24"/>
          <w:lang w:val="es-PR"/>
        </w:rPr>
        <w:t>« </w:t>
      </w:r>
      <w:r w:rsidRPr="00FD4083">
        <w:rPr>
          <w:rFonts w:ascii="Times New Roman" w:hAnsi="Times New Roman" w:cs="Times New Roman"/>
          <w:color w:val="auto"/>
          <w:sz w:val="24"/>
          <w:szCs w:val="24"/>
          <w:lang w:val="es-ES"/>
        </w:rPr>
        <w:t>Repensar el Caribe</w:t>
      </w:r>
      <w:r>
        <w:rPr>
          <w:rFonts w:ascii="Times New Roman" w:hAnsi="Times New Roman" w:cs="Times New Roman"/>
          <w:color w:val="auto"/>
          <w:sz w:val="24"/>
          <w:szCs w:val="24"/>
          <w:lang w:val="es-ES"/>
        </w:rPr>
        <w:t xml:space="preserve"> </w:t>
      </w:r>
      <w:r w:rsidRPr="00FD4083">
        <w:rPr>
          <w:rFonts w:ascii="Times New Roman" w:hAnsi="Times New Roman" w:cs="Times New Roman"/>
          <w:color w:val="auto"/>
          <w:sz w:val="24"/>
          <w:szCs w:val="24"/>
          <w:lang w:val="es-ES"/>
        </w:rPr>
        <w:t>como un espacio cinético y geopolítico: el concepto de</w:t>
      </w:r>
      <w:r>
        <w:rPr>
          <w:rFonts w:ascii="Times New Roman" w:hAnsi="Times New Roman" w:cs="Times New Roman"/>
          <w:color w:val="auto"/>
          <w:sz w:val="24"/>
          <w:szCs w:val="24"/>
          <w:lang w:val="es-ES"/>
        </w:rPr>
        <w:t xml:space="preserve"> </w:t>
      </w:r>
      <w:r w:rsidRPr="00FD4083">
        <w:rPr>
          <w:rFonts w:ascii="Times New Roman" w:hAnsi="Times New Roman" w:cs="Times New Roman"/>
          <w:i/>
          <w:color w:val="auto"/>
          <w:sz w:val="24"/>
          <w:szCs w:val="24"/>
          <w:lang w:val="es-ES"/>
        </w:rPr>
        <w:t>mouvance</w:t>
      </w:r>
      <w:r w:rsidRPr="00EF683F">
        <w:rPr>
          <w:rFonts w:ascii="Times New Roman" w:hAnsi="Times New Roman" w:cs="Times New Roman"/>
          <w:sz w:val="24"/>
          <w:szCs w:val="24"/>
          <w:lang w:val="es-PR"/>
        </w:rPr>
        <w:t>»</w:t>
      </w:r>
      <w:r w:rsidRPr="00FD4083">
        <w:rPr>
          <w:rFonts w:ascii="Times New Roman" w:hAnsi="Times New Roman" w:cs="Times New Roman"/>
          <w:color w:val="auto"/>
          <w:sz w:val="24"/>
          <w:szCs w:val="24"/>
          <w:lang w:val="es-ES"/>
        </w:rPr>
        <w:t xml:space="preserve">, Repensando el manglar, Actas del Segundo simposio internacional de prácticas críticas en los estudios culturales caribeños, Mayagüez, Universidad de Puerto Rico, octubre 15-17, 2010, </w:t>
      </w:r>
      <w:r>
        <w:rPr>
          <w:rFonts w:ascii="Times New Roman" w:hAnsi="Times New Roman" w:cs="Times New Roman"/>
          <w:color w:val="auto"/>
          <w:sz w:val="24"/>
          <w:szCs w:val="24"/>
          <w:lang w:val="es-ES"/>
        </w:rPr>
        <w:t xml:space="preserve">(URL: </w:t>
      </w:r>
      <w:hyperlink r:id="rId8" w:history="1">
        <w:r w:rsidRPr="00FD4083">
          <w:rPr>
            <w:rStyle w:val="Lienhypertexte"/>
            <w:color w:val="auto"/>
            <w:sz w:val="24"/>
            <w:szCs w:val="24"/>
            <w:lang w:val="es-ES"/>
          </w:rPr>
          <w:t>http://blogs.uprm.edu/mangroveuprm</w:t>
        </w:r>
      </w:hyperlink>
      <w:r w:rsidRPr="00FD4083">
        <w:rPr>
          <w:rFonts w:ascii="Times New Roman" w:hAnsi="Times New Roman" w:cs="Times New Roman"/>
          <w:color w:val="auto"/>
          <w:sz w:val="24"/>
          <w:szCs w:val="24"/>
          <w:lang w:val="es-ES"/>
        </w:rPr>
        <w:t>)</w:t>
      </w:r>
    </w:p>
    <w:p w:rsidR="005D5B57" w:rsidRPr="00F56DB1" w:rsidRDefault="005D5B57" w:rsidP="005D5B57">
      <w:pPr>
        <w:spacing w:before="120" w:after="0"/>
        <w:ind w:left="1418" w:right="-11" w:hanging="1418"/>
        <w:rPr>
          <w:b/>
          <w:sz w:val="24"/>
          <w:szCs w:val="24"/>
          <w:lang w:val="es-ES"/>
        </w:rPr>
      </w:pPr>
    </w:p>
    <w:p w:rsidR="005D5B57" w:rsidRPr="0016642A" w:rsidRDefault="005D5B57" w:rsidP="005D5B57">
      <w:pPr>
        <w:spacing w:before="120"/>
        <w:ind w:left="1418" w:right="-11" w:hanging="1418"/>
        <w:rPr>
          <w:b/>
          <w:sz w:val="24"/>
          <w:szCs w:val="24"/>
          <w:lang w:val="es-PR"/>
        </w:rPr>
      </w:pPr>
      <w:r w:rsidRPr="0016642A">
        <w:rPr>
          <w:b/>
          <w:sz w:val="24"/>
          <w:szCs w:val="24"/>
          <w:lang w:val="es-PR"/>
        </w:rPr>
        <w:t>Préfaces (PR)</w:t>
      </w:r>
    </w:p>
    <w:p w:rsidR="005D5B57" w:rsidRPr="00EB024D" w:rsidRDefault="005D5B57" w:rsidP="005D5B57">
      <w:pPr>
        <w:spacing w:before="120"/>
        <w:ind w:left="1418" w:right="-11" w:hanging="1418"/>
        <w:rPr>
          <w:sz w:val="24"/>
          <w:szCs w:val="24"/>
        </w:rPr>
      </w:pPr>
      <w:r w:rsidRPr="007C1580">
        <w:rPr>
          <w:lang w:val="es-PR"/>
        </w:rPr>
        <w:t>&lt;PR</w:t>
      </w:r>
      <w:r>
        <w:rPr>
          <w:lang w:val="es-PR"/>
        </w:rPr>
        <w:t>1</w:t>
      </w:r>
      <w:r w:rsidRPr="007C1580">
        <w:rPr>
          <w:lang w:val="es-PR"/>
        </w:rPr>
        <w:t>&gt;</w:t>
      </w:r>
      <w:r w:rsidRPr="007C1580">
        <w:rPr>
          <w:sz w:val="24"/>
          <w:szCs w:val="24"/>
          <w:lang w:val="es-PR"/>
        </w:rPr>
        <w:t xml:space="preserve"> </w:t>
      </w:r>
      <w:r>
        <w:rPr>
          <w:sz w:val="24"/>
          <w:szCs w:val="24"/>
          <w:lang w:val="es-PR"/>
        </w:rPr>
        <w:tab/>
      </w:r>
      <w:r w:rsidRPr="007C1580">
        <w:rPr>
          <w:sz w:val="24"/>
          <w:szCs w:val="24"/>
          <w:lang w:val="es-PR"/>
        </w:rPr>
        <w:t xml:space="preserve">Antonio Gaztambide-Géigel, </w:t>
      </w:r>
      <w:r w:rsidRPr="007C1580">
        <w:rPr>
          <w:i/>
          <w:sz w:val="24"/>
          <w:szCs w:val="24"/>
          <w:lang w:val="es-PR"/>
        </w:rPr>
        <w:t xml:space="preserve">Tan lejos de Dios… </w:t>
      </w:r>
      <w:r w:rsidRPr="009800B4">
        <w:rPr>
          <w:i/>
          <w:sz w:val="24"/>
          <w:szCs w:val="24"/>
          <w:lang w:val="es-PR"/>
        </w:rPr>
        <w:t>Ensayo sobre las relaciones del Caribe con Estados Unidos</w:t>
      </w:r>
      <w:r w:rsidRPr="009800B4">
        <w:rPr>
          <w:sz w:val="24"/>
          <w:szCs w:val="24"/>
          <w:lang w:val="es-PR"/>
        </w:rPr>
        <w:t xml:space="preserve">, </w:t>
      </w:r>
      <w:r>
        <w:rPr>
          <w:sz w:val="24"/>
          <w:szCs w:val="24"/>
          <w:lang w:val="es-PR"/>
        </w:rPr>
        <w:t>2</w:t>
      </w:r>
      <w:r w:rsidRPr="007C1580">
        <w:rPr>
          <w:sz w:val="24"/>
          <w:szCs w:val="24"/>
          <w:vertAlign w:val="superscript"/>
          <w:lang w:val="es-PR"/>
        </w:rPr>
        <w:t>ème</w:t>
      </w:r>
      <w:r>
        <w:rPr>
          <w:sz w:val="24"/>
          <w:szCs w:val="24"/>
          <w:lang w:val="es-PR"/>
        </w:rPr>
        <w:t xml:space="preserve"> édition, </w:t>
      </w:r>
      <w:r w:rsidRPr="009800B4">
        <w:rPr>
          <w:sz w:val="24"/>
          <w:szCs w:val="24"/>
          <w:lang w:val="es-PR"/>
        </w:rPr>
        <w:t>Ed</w:t>
      </w:r>
      <w:r>
        <w:rPr>
          <w:sz w:val="24"/>
          <w:szCs w:val="24"/>
          <w:lang w:val="es-PR"/>
        </w:rPr>
        <w:t>.</w:t>
      </w:r>
      <w:r w:rsidRPr="009800B4">
        <w:rPr>
          <w:sz w:val="24"/>
          <w:szCs w:val="24"/>
          <w:lang w:val="es-PR"/>
        </w:rPr>
        <w:t xml:space="preserve"> </w:t>
      </w:r>
      <w:r w:rsidRPr="00EB024D">
        <w:rPr>
          <w:sz w:val="24"/>
          <w:szCs w:val="24"/>
        </w:rPr>
        <w:t>Callejon</w:t>
      </w:r>
      <w:r>
        <w:rPr>
          <w:sz w:val="24"/>
          <w:szCs w:val="24"/>
        </w:rPr>
        <w:t xml:space="preserve"> (Puerto Rico), Oriente (Cuba) et Otramérica (España), 2014.</w:t>
      </w:r>
    </w:p>
    <w:p w:rsidR="005D5B57" w:rsidRDefault="005D5B57" w:rsidP="005D5B57">
      <w:pPr>
        <w:spacing w:before="120" w:after="0"/>
        <w:ind w:left="1418" w:right="-11" w:hanging="1418"/>
        <w:rPr>
          <w:b/>
          <w:sz w:val="24"/>
          <w:szCs w:val="24"/>
        </w:rPr>
      </w:pPr>
    </w:p>
    <w:p w:rsidR="005D5B57" w:rsidRPr="0016642A" w:rsidRDefault="005D5B57" w:rsidP="005D5B57">
      <w:pPr>
        <w:spacing w:before="120" w:after="0"/>
        <w:ind w:left="1418" w:right="-11" w:hanging="1418"/>
        <w:rPr>
          <w:b/>
          <w:sz w:val="24"/>
          <w:szCs w:val="24"/>
        </w:rPr>
      </w:pPr>
      <w:r w:rsidRPr="0016642A">
        <w:rPr>
          <w:b/>
          <w:sz w:val="24"/>
          <w:szCs w:val="24"/>
        </w:rPr>
        <w:t>Travaux</w:t>
      </w:r>
      <w:r>
        <w:rPr>
          <w:b/>
          <w:sz w:val="24"/>
          <w:szCs w:val="24"/>
        </w:rPr>
        <w:t xml:space="preserve"> de recherche et documents de travail</w:t>
      </w:r>
      <w:r w:rsidRPr="0016642A">
        <w:rPr>
          <w:b/>
          <w:sz w:val="24"/>
          <w:szCs w:val="24"/>
        </w:rPr>
        <w:t xml:space="preserve"> (TX)</w:t>
      </w:r>
    </w:p>
    <w:p w:rsidR="005D5B57" w:rsidRDefault="005D5B57" w:rsidP="005D5B57">
      <w:pPr>
        <w:tabs>
          <w:tab w:val="left" w:pos="1985"/>
        </w:tabs>
        <w:spacing w:before="120"/>
        <w:ind w:left="1418" w:right="-11" w:hanging="1418"/>
        <w:rPr>
          <w:sz w:val="24"/>
          <w:szCs w:val="24"/>
        </w:rPr>
      </w:pPr>
      <w:r w:rsidRPr="005C63A0">
        <w:t>&lt;TX</w:t>
      </w:r>
      <w:r>
        <w:t>1</w:t>
      </w:r>
      <w:r w:rsidRPr="005C63A0">
        <w:t>&gt;</w:t>
      </w:r>
      <w:r w:rsidRPr="00FD4083">
        <w:rPr>
          <w:i/>
          <w:sz w:val="24"/>
          <w:szCs w:val="24"/>
        </w:rPr>
        <w:t xml:space="preserve"> </w:t>
      </w:r>
      <w:r>
        <w:rPr>
          <w:i/>
          <w:sz w:val="24"/>
          <w:szCs w:val="24"/>
        </w:rPr>
        <w:tab/>
        <w:t>La politique extérieure de Cuba au début du XXI</w:t>
      </w:r>
      <w:r w:rsidRPr="001850A4">
        <w:rPr>
          <w:i/>
          <w:sz w:val="24"/>
          <w:szCs w:val="24"/>
          <w:vertAlign w:val="superscript"/>
        </w:rPr>
        <w:t xml:space="preserve">e </w:t>
      </w:r>
      <w:r>
        <w:rPr>
          <w:i/>
          <w:sz w:val="24"/>
          <w:szCs w:val="24"/>
        </w:rPr>
        <w:t>siècle. Orientations stratégiques et coopération sino-caribéenne,</w:t>
      </w:r>
      <w:r w:rsidRPr="00FD4083">
        <w:rPr>
          <w:sz w:val="24"/>
          <w:szCs w:val="24"/>
        </w:rPr>
        <w:t xml:space="preserve"> Mémoire de recherche pour l’obtention de l’Habilitation à diriger des recherches, </w:t>
      </w:r>
      <w:r>
        <w:rPr>
          <w:sz w:val="24"/>
          <w:szCs w:val="24"/>
        </w:rPr>
        <w:t>UPPA, Pau, 2014 (sous la direction de la Professeure Michèle Guicharnaud-Tollis)</w:t>
      </w:r>
      <w:r w:rsidRPr="00FD4083">
        <w:rPr>
          <w:sz w:val="24"/>
          <w:szCs w:val="24"/>
        </w:rPr>
        <w:t>.</w:t>
      </w:r>
    </w:p>
    <w:p w:rsidR="005D5B57" w:rsidRPr="00FD4083" w:rsidRDefault="005D5B57" w:rsidP="005D5B57">
      <w:pPr>
        <w:pStyle w:val="Notedebasdepage"/>
        <w:spacing w:before="120" w:after="200" w:line="276" w:lineRule="auto"/>
        <w:ind w:left="1418" w:right="-11" w:hanging="1418"/>
        <w:jc w:val="both"/>
        <w:rPr>
          <w:sz w:val="24"/>
          <w:szCs w:val="24"/>
        </w:rPr>
      </w:pPr>
      <w:r w:rsidRPr="005C63A0">
        <w:rPr>
          <w:sz w:val="22"/>
          <w:szCs w:val="22"/>
        </w:rPr>
        <w:t>&lt;TX</w:t>
      </w:r>
      <w:r>
        <w:rPr>
          <w:sz w:val="22"/>
          <w:szCs w:val="22"/>
        </w:rPr>
        <w:t>2</w:t>
      </w:r>
      <w:r w:rsidRPr="005C63A0">
        <w:rPr>
          <w:sz w:val="22"/>
          <w:szCs w:val="22"/>
        </w:rPr>
        <w:t>&gt;</w:t>
      </w:r>
      <w:r w:rsidRPr="00FD4083">
        <w:rPr>
          <w:i/>
          <w:sz w:val="24"/>
          <w:szCs w:val="24"/>
        </w:rPr>
        <w:t xml:space="preserve"> </w:t>
      </w:r>
      <w:r>
        <w:rPr>
          <w:i/>
          <w:sz w:val="24"/>
          <w:szCs w:val="24"/>
        </w:rPr>
        <w:tab/>
      </w:r>
      <w:r w:rsidRPr="00FD4083">
        <w:rPr>
          <w:sz w:val="24"/>
          <w:szCs w:val="24"/>
        </w:rPr>
        <w:t>« La présence de la Chine dans la Caraïbe », Dubesset E. ; Quenan C. ; Sukup V.</w:t>
      </w:r>
      <w:r>
        <w:rPr>
          <w:sz w:val="24"/>
          <w:szCs w:val="24"/>
        </w:rPr>
        <w:t xml:space="preserve"> (coord.), </w:t>
      </w:r>
      <w:r w:rsidRPr="00FD4083">
        <w:rPr>
          <w:sz w:val="24"/>
          <w:szCs w:val="24"/>
        </w:rPr>
        <w:t>Institut des Amériques</w:t>
      </w:r>
      <w:r>
        <w:rPr>
          <w:sz w:val="24"/>
          <w:szCs w:val="24"/>
        </w:rPr>
        <w:t xml:space="preserve"> (IDA) </w:t>
      </w:r>
      <w:r w:rsidRPr="00FD4083">
        <w:rPr>
          <w:sz w:val="24"/>
          <w:szCs w:val="24"/>
        </w:rPr>
        <w:t>/Agence Française de Développement</w:t>
      </w:r>
      <w:r>
        <w:rPr>
          <w:sz w:val="24"/>
          <w:szCs w:val="24"/>
        </w:rPr>
        <w:t xml:space="preserve"> (AFD)</w:t>
      </w:r>
      <w:r w:rsidRPr="00FD4083">
        <w:rPr>
          <w:sz w:val="24"/>
          <w:szCs w:val="24"/>
        </w:rPr>
        <w:t xml:space="preserve">, 2014, </w:t>
      </w:r>
      <w:r>
        <w:rPr>
          <w:sz w:val="24"/>
          <w:szCs w:val="24"/>
        </w:rPr>
        <w:t>6</w:t>
      </w:r>
      <w:r w:rsidRPr="00FD4083">
        <w:rPr>
          <w:sz w:val="24"/>
          <w:szCs w:val="24"/>
        </w:rPr>
        <w:t>0 p.</w:t>
      </w:r>
    </w:p>
    <w:p w:rsidR="005D5B57" w:rsidRPr="00FD4083" w:rsidRDefault="005D5B57" w:rsidP="005D5B57">
      <w:pPr>
        <w:pStyle w:val="Notedebasdepage"/>
        <w:spacing w:before="120" w:after="200" w:line="276" w:lineRule="auto"/>
        <w:ind w:left="1418" w:right="-11" w:hanging="1418"/>
        <w:jc w:val="both"/>
        <w:rPr>
          <w:sz w:val="24"/>
          <w:szCs w:val="24"/>
        </w:rPr>
      </w:pPr>
      <w:r w:rsidRPr="00583D6F">
        <w:rPr>
          <w:sz w:val="22"/>
          <w:szCs w:val="22"/>
        </w:rPr>
        <w:t>&lt;TX3&gt;</w:t>
      </w:r>
      <w:r w:rsidRPr="00583D6F">
        <w:rPr>
          <w:i/>
          <w:sz w:val="24"/>
          <w:szCs w:val="24"/>
        </w:rPr>
        <w:t xml:space="preserve"> </w:t>
      </w:r>
      <w:r w:rsidRPr="00583D6F">
        <w:rPr>
          <w:i/>
          <w:sz w:val="24"/>
          <w:szCs w:val="24"/>
        </w:rPr>
        <w:tab/>
      </w:r>
      <w:r w:rsidRPr="00FD4083">
        <w:rPr>
          <w:sz w:val="24"/>
          <w:szCs w:val="24"/>
        </w:rPr>
        <w:t xml:space="preserve">« Intégration régionale et insertion économique internationale de la Caraïbe : entre unité et morcellement », dans Quenan C ; M. Richard (coord.), </w:t>
      </w:r>
      <w:r w:rsidRPr="00FD4083">
        <w:rPr>
          <w:i/>
          <w:sz w:val="24"/>
          <w:szCs w:val="24"/>
        </w:rPr>
        <w:t>Les processus d’intégration régionale dans la Caraïbe et les relations avec l’Europe</w:t>
      </w:r>
      <w:r w:rsidRPr="00FD4083">
        <w:rPr>
          <w:sz w:val="24"/>
          <w:szCs w:val="24"/>
        </w:rPr>
        <w:t>, Paris</w:t>
      </w:r>
      <w:r>
        <w:rPr>
          <w:sz w:val="24"/>
          <w:szCs w:val="24"/>
        </w:rPr>
        <w:t xml:space="preserve">, </w:t>
      </w:r>
      <w:r w:rsidRPr="00FD4083">
        <w:rPr>
          <w:sz w:val="24"/>
          <w:szCs w:val="24"/>
        </w:rPr>
        <w:t xml:space="preserve">Institut des Amériques, 2013, pp. 61-64. </w:t>
      </w:r>
    </w:p>
    <w:p w:rsidR="005D5B57" w:rsidRPr="005D5B57" w:rsidRDefault="005D5B57"/>
    <w:sectPr w:rsidR="005D5B57" w:rsidRPr="005D5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C8" w:rsidRDefault="00B939C8" w:rsidP="006C174B">
      <w:pPr>
        <w:spacing w:after="0" w:line="240" w:lineRule="auto"/>
      </w:pPr>
      <w:r>
        <w:separator/>
      </w:r>
    </w:p>
  </w:endnote>
  <w:endnote w:type="continuationSeparator" w:id="0">
    <w:p w:rsidR="00B939C8" w:rsidRDefault="00B939C8" w:rsidP="006C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C8" w:rsidRDefault="00B939C8" w:rsidP="006C174B">
      <w:pPr>
        <w:spacing w:after="0" w:line="240" w:lineRule="auto"/>
      </w:pPr>
      <w:r>
        <w:separator/>
      </w:r>
    </w:p>
  </w:footnote>
  <w:footnote w:type="continuationSeparator" w:id="0">
    <w:p w:rsidR="00B939C8" w:rsidRDefault="00B939C8" w:rsidP="006C1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EB"/>
    <w:rsid w:val="00032B1D"/>
    <w:rsid w:val="000C5511"/>
    <w:rsid w:val="001005FD"/>
    <w:rsid w:val="00260109"/>
    <w:rsid w:val="002E67D9"/>
    <w:rsid w:val="004D0E8E"/>
    <w:rsid w:val="00571A9F"/>
    <w:rsid w:val="005D5A6F"/>
    <w:rsid w:val="005D5B57"/>
    <w:rsid w:val="0061261D"/>
    <w:rsid w:val="00662A80"/>
    <w:rsid w:val="006C174B"/>
    <w:rsid w:val="008A623A"/>
    <w:rsid w:val="008A629A"/>
    <w:rsid w:val="008D0284"/>
    <w:rsid w:val="00A214AD"/>
    <w:rsid w:val="00A82F00"/>
    <w:rsid w:val="00B1369B"/>
    <w:rsid w:val="00B939C8"/>
    <w:rsid w:val="00BA3E43"/>
    <w:rsid w:val="00C94F9D"/>
    <w:rsid w:val="00CB20EB"/>
    <w:rsid w:val="00D4170A"/>
    <w:rsid w:val="00DB612E"/>
    <w:rsid w:val="00E67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4B"/>
    <w:pPr>
      <w:spacing w:after="200" w:line="276" w:lineRule="auto"/>
      <w:jc w:val="both"/>
    </w:pPr>
    <w:rPr>
      <w:rFonts w:ascii="Times New Roman" w:hAnsi="Times New Roman" w:cs="Times New Roman"/>
      <w:kern w:val="1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6C174B"/>
    <w:rPr>
      <w:vertAlign w:val="superscript"/>
    </w:rPr>
  </w:style>
  <w:style w:type="character" w:styleId="Lienhypertexte">
    <w:name w:val="Hyperlink"/>
    <w:basedOn w:val="Policepardfaut"/>
    <w:uiPriority w:val="99"/>
    <w:unhideWhenUsed/>
    <w:rsid w:val="00032B1D"/>
    <w:rPr>
      <w:color w:val="0563C1" w:themeColor="hyperlink"/>
      <w:u w:val="single"/>
    </w:rPr>
  </w:style>
  <w:style w:type="paragraph" w:styleId="Notedebasdepage">
    <w:name w:val="footnote text"/>
    <w:basedOn w:val="Normal"/>
    <w:link w:val="NotedebasdepageCar"/>
    <w:rsid w:val="005D5B57"/>
    <w:pPr>
      <w:spacing w:after="0" w:line="240" w:lineRule="auto"/>
      <w:jc w:val="left"/>
    </w:pPr>
    <w:rPr>
      <w:rFonts w:eastAsia="Times New Roman"/>
      <w:kern w:val="0"/>
      <w:sz w:val="20"/>
      <w:szCs w:val="20"/>
      <w:lang w:eastAsia="fr-FR"/>
    </w:rPr>
  </w:style>
  <w:style w:type="character" w:customStyle="1" w:styleId="NotedebasdepageCar">
    <w:name w:val="Note de bas de page Car"/>
    <w:basedOn w:val="Policepardfaut"/>
    <w:link w:val="Notedebasdepage"/>
    <w:rsid w:val="005D5B57"/>
    <w:rPr>
      <w:rFonts w:ascii="Times New Roman" w:eastAsia="Times New Roman" w:hAnsi="Times New Roman" w:cs="Times New Roman"/>
      <w:sz w:val="20"/>
      <w:szCs w:val="20"/>
      <w:lang w:eastAsia="fr-FR"/>
    </w:rPr>
  </w:style>
  <w:style w:type="paragraph" w:customStyle="1" w:styleId="yiv241490000msonormal">
    <w:name w:val="yiv241490000msonormal"/>
    <w:basedOn w:val="Normal"/>
    <w:rsid w:val="005D5B57"/>
    <w:pPr>
      <w:spacing w:before="100" w:beforeAutospacing="1" w:after="100" w:afterAutospacing="1" w:line="240" w:lineRule="auto"/>
      <w:jc w:val="left"/>
    </w:pPr>
    <w:rPr>
      <w:rFonts w:eastAsia="Times New Roman"/>
      <w:kern w:val="0"/>
      <w:sz w:val="24"/>
      <w:szCs w:val="24"/>
      <w:lang w:eastAsia="fr-FR"/>
    </w:rPr>
  </w:style>
  <w:style w:type="paragraph" w:styleId="NormalWeb">
    <w:name w:val="Normal (Web)"/>
    <w:basedOn w:val="Normal"/>
    <w:uiPriority w:val="99"/>
    <w:rsid w:val="005D5B57"/>
    <w:pPr>
      <w:spacing w:before="150" w:after="150" w:line="240" w:lineRule="auto"/>
      <w:ind w:firstLine="225"/>
      <w:jc w:val="left"/>
    </w:pPr>
    <w:rPr>
      <w:rFonts w:ascii="Arial" w:eastAsia="Times New Roman" w:hAnsi="Arial" w:cs="Arial"/>
      <w:color w:val="000000"/>
      <w:kern w:val="0"/>
      <w:lang w:eastAsia="fr-FR"/>
    </w:rPr>
  </w:style>
  <w:style w:type="character" w:styleId="Accentuation">
    <w:name w:val="Emphasis"/>
    <w:uiPriority w:val="20"/>
    <w:qFormat/>
    <w:rsid w:val="005D5B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4B"/>
    <w:pPr>
      <w:spacing w:after="200" w:line="276" w:lineRule="auto"/>
      <w:jc w:val="both"/>
    </w:pPr>
    <w:rPr>
      <w:rFonts w:ascii="Times New Roman" w:hAnsi="Times New Roman" w:cs="Times New Roman"/>
      <w:kern w:val="1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6C174B"/>
    <w:rPr>
      <w:vertAlign w:val="superscript"/>
    </w:rPr>
  </w:style>
  <w:style w:type="character" w:styleId="Lienhypertexte">
    <w:name w:val="Hyperlink"/>
    <w:basedOn w:val="Policepardfaut"/>
    <w:uiPriority w:val="99"/>
    <w:unhideWhenUsed/>
    <w:rsid w:val="00032B1D"/>
    <w:rPr>
      <w:color w:val="0563C1" w:themeColor="hyperlink"/>
      <w:u w:val="single"/>
    </w:rPr>
  </w:style>
  <w:style w:type="paragraph" w:styleId="Notedebasdepage">
    <w:name w:val="footnote text"/>
    <w:basedOn w:val="Normal"/>
    <w:link w:val="NotedebasdepageCar"/>
    <w:rsid w:val="005D5B57"/>
    <w:pPr>
      <w:spacing w:after="0" w:line="240" w:lineRule="auto"/>
      <w:jc w:val="left"/>
    </w:pPr>
    <w:rPr>
      <w:rFonts w:eastAsia="Times New Roman"/>
      <w:kern w:val="0"/>
      <w:sz w:val="20"/>
      <w:szCs w:val="20"/>
      <w:lang w:eastAsia="fr-FR"/>
    </w:rPr>
  </w:style>
  <w:style w:type="character" w:customStyle="1" w:styleId="NotedebasdepageCar">
    <w:name w:val="Note de bas de page Car"/>
    <w:basedOn w:val="Policepardfaut"/>
    <w:link w:val="Notedebasdepage"/>
    <w:rsid w:val="005D5B57"/>
    <w:rPr>
      <w:rFonts w:ascii="Times New Roman" w:eastAsia="Times New Roman" w:hAnsi="Times New Roman" w:cs="Times New Roman"/>
      <w:sz w:val="20"/>
      <w:szCs w:val="20"/>
      <w:lang w:eastAsia="fr-FR"/>
    </w:rPr>
  </w:style>
  <w:style w:type="paragraph" w:customStyle="1" w:styleId="yiv241490000msonormal">
    <w:name w:val="yiv241490000msonormal"/>
    <w:basedOn w:val="Normal"/>
    <w:rsid w:val="005D5B57"/>
    <w:pPr>
      <w:spacing w:before="100" w:beforeAutospacing="1" w:after="100" w:afterAutospacing="1" w:line="240" w:lineRule="auto"/>
      <w:jc w:val="left"/>
    </w:pPr>
    <w:rPr>
      <w:rFonts w:eastAsia="Times New Roman"/>
      <w:kern w:val="0"/>
      <w:sz w:val="24"/>
      <w:szCs w:val="24"/>
      <w:lang w:eastAsia="fr-FR"/>
    </w:rPr>
  </w:style>
  <w:style w:type="paragraph" w:styleId="NormalWeb">
    <w:name w:val="Normal (Web)"/>
    <w:basedOn w:val="Normal"/>
    <w:uiPriority w:val="99"/>
    <w:rsid w:val="005D5B57"/>
    <w:pPr>
      <w:spacing w:before="150" w:after="150" w:line="240" w:lineRule="auto"/>
      <w:ind w:firstLine="225"/>
      <w:jc w:val="left"/>
    </w:pPr>
    <w:rPr>
      <w:rFonts w:ascii="Arial" w:eastAsia="Times New Roman" w:hAnsi="Arial" w:cs="Arial"/>
      <w:color w:val="000000"/>
      <w:kern w:val="0"/>
      <w:lang w:eastAsia="fr-FR"/>
    </w:rPr>
  </w:style>
  <w:style w:type="character" w:styleId="Accentuation">
    <w:name w:val="Emphasis"/>
    <w:uiPriority w:val="20"/>
    <w:qFormat/>
    <w:rsid w:val="005D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uprm.edu/mangroveuprm" TargetMode="External"/><Relationship Id="rId3" Type="http://schemas.openxmlformats.org/officeDocument/2006/relationships/settings" Target="settings.xml"/><Relationship Id="rId7" Type="http://schemas.openxmlformats.org/officeDocument/2006/relationships/hyperlink" Target="mailto:eric.dubesset-pascual@u-bordeaux.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1385</Words>
  <Characters>7619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Bibou2</cp:lastModifiedBy>
  <cp:revision>2</cp:revision>
  <dcterms:created xsi:type="dcterms:W3CDTF">2015-11-30T17:27:00Z</dcterms:created>
  <dcterms:modified xsi:type="dcterms:W3CDTF">2015-11-30T17:27:00Z</dcterms:modified>
</cp:coreProperties>
</file>