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73" w:rsidRPr="006F2F2A" w:rsidRDefault="00582A73" w:rsidP="00582A73">
      <w:pPr>
        <w:jc w:val="center"/>
        <w:rPr>
          <w:rFonts w:asciiTheme="majorHAnsi" w:hAnsiTheme="majorHAnsi"/>
          <w:b/>
          <w:sz w:val="28"/>
        </w:rPr>
      </w:pPr>
      <w:r w:rsidRPr="006F2F2A">
        <w:rPr>
          <w:rFonts w:asciiTheme="majorHAnsi" w:hAnsiTheme="majorHAnsi"/>
          <w:b/>
          <w:sz w:val="28"/>
        </w:rPr>
        <w:t xml:space="preserve">Les usages de la mémoire de la Guerre de Corée </w:t>
      </w:r>
      <w:r w:rsidRPr="006F2F2A">
        <w:rPr>
          <w:rFonts w:asciiTheme="majorHAnsi" w:hAnsiTheme="majorHAnsi"/>
          <w:b/>
          <w:sz w:val="28"/>
        </w:rPr>
        <w:br/>
        <w:t>dans les relations américano-coréennes</w:t>
      </w:r>
    </w:p>
    <w:p w:rsidR="00582A73" w:rsidRDefault="00582A73" w:rsidP="00582A73">
      <w:pPr>
        <w:jc w:val="center"/>
        <w:rPr>
          <w:rFonts w:asciiTheme="majorHAnsi" w:hAnsiTheme="majorHAnsi"/>
          <w:i/>
          <w:sz w:val="24"/>
        </w:rPr>
      </w:pPr>
      <w:r>
        <w:rPr>
          <w:rFonts w:asciiTheme="majorHAnsi" w:hAnsiTheme="majorHAnsi"/>
          <w:sz w:val="24"/>
        </w:rPr>
        <w:t>Thibaud Pascal DANEL</w:t>
      </w:r>
      <w:r>
        <w:rPr>
          <w:rFonts w:asciiTheme="majorHAnsi" w:hAnsiTheme="majorHAnsi"/>
          <w:sz w:val="24"/>
        </w:rPr>
        <w:br/>
      </w:r>
      <w:r>
        <w:rPr>
          <w:rFonts w:asciiTheme="majorHAnsi" w:hAnsiTheme="majorHAnsi"/>
          <w:i/>
          <w:sz w:val="24"/>
        </w:rPr>
        <w:t>Doctorant en études du monde anglophone, deuxième année</w:t>
      </w:r>
      <w:r>
        <w:rPr>
          <w:rFonts w:asciiTheme="majorHAnsi" w:hAnsiTheme="majorHAnsi"/>
          <w:sz w:val="24"/>
        </w:rPr>
        <w:br/>
      </w:r>
      <w:r>
        <w:rPr>
          <w:rFonts w:asciiTheme="majorHAnsi" w:hAnsiTheme="majorHAnsi"/>
          <w:i/>
          <w:sz w:val="24"/>
        </w:rPr>
        <w:t>LIRCES (Laboratoire Interdisciplinaire Cultures, écritures et sociétés</w:t>
      </w:r>
      <w:proofErr w:type="gramStart"/>
      <w:r>
        <w:rPr>
          <w:rFonts w:asciiTheme="majorHAnsi" w:hAnsiTheme="majorHAnsi"/>
          <w:i/>
          <w:sz w:val="24"/>
        </w:rPr>
        <w:t>)</w:t>
      </w:r>
      <w:proofErr w:type="gramEnd"/>
      <w:r>
        <w:rPr>
          <w:rFonts w:asciiTheme="majorHAnsi" w:hAnsiTheme="majorHAnsi"/>
          <w:i/>
          <w:sz w:val="24"/>
        </w:rPr>
        <w:br/>
        <w:t>Université de Nice Sophia-Antipolis</w:t>
      </w:r>
    </w:p>
    <w:p w:rsidR="00582A73" w:rsidRPr="00AB7F73" w:rsidRDefault="00582A73" w:rsidP="00582A73">
      <w:pPr>
        <w:jc w:val="both"/>
        <w:rPr>
          <w:rFonts w:asciiTheme="majorHAnsi" w:hAnsiTheme="majorHAnsi"/>
          <w:sz w:val="24"/>
        </w:rPr>
      </w:pPr>
      <w:r>
        <w:rPr>
          <w:rFonts w:asciiTheme="majorHAnsi" w:hAnsiTheme="majorHAnsi"/>
          <w:i/>
          <w:sz w:val="24"/>
        </w:rPr>
        <w:tab/>
      </w:r>
      <w:r>
        <w:rPr>
          <w:rFonts w:asciiTheme="majorHAnsi" w:hAnsiTheme="majorHAnsi"/>
          <w:sz w:val="24"/>
        </w:rPr>
        <w:t>Ma recherche porte essentiellement sur l’irrédentisme aux Etats-Unis à travers les siècles. En novembre 2014, j’ai à ce titre présenté une communication intitulée « Le 51</w:t>
      </w:r>
      <w:r w:rsidRPr="00AB7F73">
        <w:rPr>
          <w:rFonts w:asciiTheme="majorHAnsi" w:hAnsiTheme="majorHAnsi"/>
          <w:sz w:val="24"/>
          <w:vertAlign w:val="superscript"/>
        </w:rPr>
        <w:t>ème</w:t>
      </w:r>
      <w:r>
        <w:rPr>
          <w:rFonts w:asciiTheme="majorHAnsi" w:hAnsiTheme="majorHAnsi"/>
          <w:sz w:val="24"/>
        </w:rPr>
        <w:t xml:space="preserve"> Etat : une dynamique expansionniste ?»  </w:t>
      </w:r>
      <w:proofErr w:type="gramStart"/>
      <w:r>
        <w:rPr>
          <w:rFonts w:asciiTheme="majorHAnsi" w:hAnsiTheme="majorHAnsi"/>
          <w:sz w:val="24"/>
        </w:rPr>
        <w:t>à</w:t>
      </w:r>
      <w:proofErr w:type="gramEnd"/>
      <w:r>
        <w:rPr>
          <w:rFonts w:asciiTheme="majorHAnsi" w:hAnsiTheme="majorHAnsi"/>
          <w:sz w:val="24"/>
        </w:rPr>
        <w:t xml:space="preserve"> l’occasion d’un colloque organisé par l’I.D.A. à l’Université de Nice. A mi-chemin entre l’analyse du discours et l’étude des représentations, ma thèse s’intéresse plus particulièrement à la guerre de Corée et aux enjeux historiographiques soulevés par la question de la mémoire et de ses usages. </w:t>
      </w:r>
    </w:p>
    <w:p w:rsidR="00582A73" w:rsidRPr="0097274B" w:rsidRDefault="00582A73" w:rsidP="00582A73">
      <w:pPr>
        <w:jc w:val="both"/>
        <w:rPr>
          <w:rFonts w:asciiTheme="majorHAnsi" w:hAnsiTheme="majorHAnsi"/>
          <w:sz w:val="24"/>
        </w:rPr>
      </w:pPr>
      <w:r>
        <w:rPr>
          <w:rFonts w:asciiTheme="majorHAnsi" w:hAnsiTheme="majorHAnsi"/>
          <w:b/>
          <w:sz w:val="24"/>
        </w:rPr>
        <w:tab/>
        <w:t>Mots-clefs </w:t>
      </w:r>
      <w:r>
        <w:rPr>
          <w:rFonts w:asciiTheme="majorHAnsi" w:hAnsiTheme="majorHAnsi"/>
          <w:sz w:val="24"/>
        </w:rPr>
        <w:t xml:space="preserve">: guerre de Corée (1950-1953), études américaines, relations </w:t>
      </w:r>
      <w:r>
        <w:rPr>
          <w:rFonts w:asciiTheme="majorHAnsi" w:hAnsiTheme="majorHAnsi"/>
          <w:sz w:val="24"/>
        </w:rPr>
        <w:tab/>
        <w:t xml:space="preserve">internationales, mémoire collective, historiographie, </w:t>
      </w:r>
      <w:proofErr w:type="spellStart"/>
      <w:r>
        <w:rPr>
          <w:rFonts w:asciiTheme="majorHAnsi" w:hAnsiTheme="majorHAnsi"/>
          <w:sz w:val="24"/>
        </w:rPr>
        <w:t>protochronisme</w:t>
      </w:r>
      <w:proofErr w:type="spellEnd"/>
      <w:r>
        <w:rPr>
          <w:rFonts w:asciiTheme="majorHAnsi" w:hAnsiTheme="majorHAnsi"/>
          <w:sz w:val="24"/>
        </w:rPr>
        <w:t>.</w:t>
      </w:r>
    </w:p>
    <w:p w:rsidR="00582A73" w:rsidRDefault="00582A73" w:rsidP="00582A73">
      <w:pPr>
        <w:spacing w:line="360" w:lineRule="auto"/>
        <w:jc w:val="both"/>
        <w:rPr>
          <w:rFonts w:asciiTheme="majorHAnsi" w:hAnsiTheme="majorHAnsi"/>
          <w:sz w:val="24"/>
        </w:rPr>
      </w:pPr>
      <w:r>
        <w:rPr>
          <w:rFonts w:asciiTheme="majorHAnsi" w:hAnsiTheme="majorHAnsi"/>
          <w:sz w:val="24"/>
        </w:rPr>
        <w:tab/>
        <w:t>Malgré son appellation traditionnelle de « guerre oubliée »</w:t>
      </w:r>
      <w:r>
        <w:rPr>
          <w:rStyle w:val="FootnoteReference"/>
          <w:rFonts w:asciiTheme="majorHAnsi" w:hAnsiTheme="majorHAnsi"/>
          <w:sz w:val="24"/>
        </w:rPr>
        <w:footnoteReference w:id="1"/>
      </w:r>
      <w:r>
        <w:rPr>
          <w:rFonts w:asciiTheme="majorHAnsi" w:hAnsiTheme="majorHAnsi"/>
          <w:sz w:val="24"/>
        </w:rPr>
        <w:t>, le conflit qui divisa la péninsule coréenne au lendemain de la Seconde guerre mondiale n’a eu de cesse depuis ses premières heures de façonner la géopolitique moderne de part et d’autre de l’océan Pacifique</w:t>
      </w:r>
      <w:r>
        <w:rPr>
          <w:rStyle w:val="FootnoteReference"/>
          <w:rFonts w:asciiTheme="majorHAnsi" w:hAnsiTheme="majorHAnsi"/>
          <w:sz w:val="24"/>
        </w:rPr>
        <w:footnoteReference w:id="2"/>
      </w:r>
      <w:r>
        <w:rPr>
          <w:rFonts w:asciiTheme="majorHAnsi" w:hAnsiTheme="majorHAnsi"/>
          <w:sz w:val="24"/>
        </w:rPr>
        <w:t xml:space="preserve">. Encore aujourd’hui, </w:t>
      </w:r>
      <w:r w:rsidRPr="00180E06">
        <w:rPr>
          <w:rFonts w:asciiTheme="majorHAnsi" w:hAnsiTheme="majorHAnsi"/>
          <w:sz w:val="24"/>
        </w:rPr>
        <w:t xml:space="preserve">le rôle </w:t>
      </w:r>
      <w:r>
        <w:rPr>
          <w:rFonts w:asciiTheme="majorHAnsi" w:hAnsiTheme="majorHAnsi"/>
          <w:sz w:val="24"/>
        </w:rPr>
        <w:t xml:space="preserve">prépondérant </w:t>
      </w:r>
      <w:r w:rsidRPr="00180E06">
        <w:rPr>
          <w:rFonts w:asciiTheme="majorHAnsi" w:hAnsiTheme="majorHAnsi"/>
          <w:sz w:val="24"/>
        </w:rPr>
        <w:t xml:space="preserve">des </w:t>
      </w:r>
      <w:r>
        <w:rPr>
          <w:rFonts w:asciiTheme="majorHAnsi" w:hAnsiTheme="majorHAnsi"/>
          <w:sz w:val="24"/>
        </w:rPr>
        <w:t>États-Unis dans</w:t>
      </w:r>
      <w:bookmarkStart w:id="0" w:name="_GoBack"/>
      <w:bookmarkEnd w:id="0"/>
      <w:r>
        <w:rPr>
          <w:rFonts w:asciiTheme="majorHAnsi" w:hAnsiTheme="majorHAnsi"/>
          <w:sz w:val="24"/>
        </w:rPr>
        <w:t xml:space="preserve"> un</w:t>
      </w:r>
      <w:r w:rsidRPr="00180E06">
        <w:rPr>
          <w:rFonts w:asciiTheme="majorHAnsi" w:hAnsiTheme="majorHAnsi"/>
          <w:sz w:val="24"/>
        </w:rPr>
        <w:t xml:space="preserve"> conflit </w:t>
      </w:r>
      <w:r>
        <w:rPr>
          <w:rFonts w:asciiTheme="majorHAnsi" w:hAnsiTheme="majorHAnsi"/>
          <w:sz w:val="24"/>
        </w:rPr>
        <w:t xml:space="preserve">longtemps envisagé comme une lutte pour l’endiguement du communisme </w:t>
      </w:r>
      <w:r w:rsidRPr="00180E06">
        <w:rPr>
          <w:rFonts w:asciiTheme="majorHAnsi" w:hAnsiTheme="majorHAnsi"/>
          <w:sz w:val="24"/>
        </w:rPr>
        <w:t>fait encore polémique</w:t>
      </w:r>
      <w:r>
        <w:rPr>
          <w:rFonts w:asciiTheme="majorHAnsi" w:hAnsiTheme="majorHAnsi"/>
          <w:sz w:val="24"/>
        </w:rPr>
        <w:t xml:space="preserve"> en faveur d’un révisionnisme historique moins idéologique et plus concerné par l’évolution de la péninsule</w:t>
      </w:r>
      <w:r>
        <w:rPr>
          <w:rStyle w:val="FootnoteReference"/>
          <w:rFonts w:asciiTheme="majorHAnsi" w:hAnsiTheme="majorHAnsi"/>
          <w:sz w:val="24"/>
        </w:rPr>
        <w:footnoteReference w:id="3"/>
      </w:r>
      <w:r>
        <w:rPr>
          <w:rFonts w:asciiTheme="majorHAnsi" w:hAnsiTheme="majorHAnsi"/>
          <w:sz w:val="24"/>
        </w:rPr>
        <w:t xml:space="preserve">, alimentant </w:t>
      </w:r>
      <w:r>
        <w:rPr>
          <w:rFonts w:asciiTheme="majorHAnsi" w:hAnsiTheme="majorHAnsi"/>
          <w:sz w:val="24"/>
        </w:rPr>
        <w:t>les clivages historiographiques</w:t>
      </w:r>
      <w:r>
        <w:rPr>
          <w:rStyle w:val="FootnoteReference"/>
          <w:rFonts w:asciiTheme="majorHAnsi" w:hAnsiTheme="majorHAnsi"/>
          <w:sz w:val="24"/>
        </w:rPr>
        <w:footnoteReference w:id="4"/>
      </w:r>
      <w:r>
        <w:rPr>
          <w:rFonts w:asciiTheme="majorHAnsi" w:hAnsiTheme="majorHAnsi"/>
          <w:sz w:val="24"/>
        </w:rPr>
        <w:t xml:space="preserve">. </w:t>
      </w:r>
    </w:p>
    <w:p w:rsidR="00582A73" w:rsidRDefault="00582A73" w:rsidP="00582A73">
      <w:pPr>
        <w:spacing w:line="360" w:lineRule="auto"/>
        <w:jc w:val="both"/>
        <w:rPr>
          <w:rFonts w:asciiTheme="majorHAnsi" w:hAnsiTheme="majorHAnsi"/>
          <w:sz w:val="24"/>
        </w:rPr>
      </w:pPr>
      <w:r>
        <w:rPr>
          <w:rFonts w:asciiTheme="majorHAnsi" w:hAnsiTheme="majorHAnsi"/>
          <w:sz w:val="24"/>
        </w:rPr>
        <w:tab/>
        <w:t>Entreprise à la fois historique et culture</w:t>
      </w:r>
      <w:r w:rsidR="009553F9">
        <w:rPr>
          <w:rFonts w:asciiTheme="majorHAnsi" w:hAnsiTheme="majorHAnsi"/>
          <w:sz w:val="24"/>
        </w:rPr>
        <w:t>lle, le présent article propose</w:t>
      </w:r>
      <w:r>
        <w:rPr>
          <w:rFonts w:asciiTheme="majorHAnsi" w:hAnsiTheme="majorHAnsi"/>
          <w:sz w:val="24"/>
        </w:rPr>
        <w:t xml:space="preserve"> de soulever la question de la mémoire de la guerre de Corée dans les relations entre l’Asie et l’Amérique. Tandis qu’aux États-Unis, la guerre trouve sa justification dans la sauvegarde des intérêts de Washington D.C. au Japon et dans la péninsule coréenne</w:t>
      </w:r>
      <w:r>
        <w:rPr>
          <w:rStyle w:val="FootnoteReference"/>
          <w:rFonts w:asciiTheme="majorHAnsi" w:hAnsiTheme="majorHAnsi"/>
          <w:sz w:val="24"/>
        </w:rPr>
        <w:footnoteReference w:id="5"/>
      </w:r>
      <w:r>
        <w:rPr>
          <w:rFonts w:asciiTheme="majorHAnsi" w:hAnsiTheme="majorHAnsi"/>
          <w:sz w:val="24"/>
        </w:rPr>
        <w:t xml:space="preserve">, alors deuxième plus grande puissance asiatique en raison de son industrialisation forcée lors de l’occupation japonaise, elle prend une signification différente chez les autres belligérants du conflit, comme au Canada, dont le rôle a longtemps été éclipsé par son </w:t>
      </w:r>
      <w:r>
        <w:rPr>
          <w:rFonts w:asciiTheme="majorHAnsi" w:hAnsiTheme="majorHAnsi"/>
          <w:sz w:val="24"/>
        </w:rPr>
        <w:lastRenderedPageBreak/>
        <w:t>voisin</w:t>
      </w:r>
      <w:r>
        <w:rPr>
          <w:rStyle w:val="FootnoteReference"/>
          <w:rFonts w:asciiTheme="majorHAnsi" w:hAnsiTheme="majorHAnsi"/>
          <w:sz w:val="24"/>
        </w:rPr>
        <w:footnoteReference w:id="6"/>
      </w:r>
      <w:r>
        <w:rPr>
          <w:rFonts w:asciiTheme="majorHAnsi" w:hAnsiTheme="majorHAnsi"/>
          <w:sz w:val="24"/>
        </w:rPr>
        <w:t xml:space="preserve">, et en Corée du Nord, où le régime entretient stratégiquement </w:t>
      </w:r>
      <w:r w:rsidRPr="00180E06">
        <w:rPr>
          <w:rFonts w:asciiTheme="majorHAnsi" w:hAnsiTheme="majorHAnsi"/>
          <w:sz w:val="24"/>
        </w:rPr>
        <w:t>la mémoire de la guer</w:t>
      </w:r>
      <w:r>
        <w:rPr>
          <w:rFonts w:asciiTheme="majorHAnsi" w:hAnsiTheme="majorHAnsi"/>
          <w:sz w:val="24"/>
        </w:rPr>
        <w:t xml:space="preserve">re pour dénoncer l’irrédentisme des États-Unis qui « occupent » toujours la péninsule. </w:t>
      </w:r>
      <w:r>
        <w:rPr>
          <w:rFonts w:asciiTheme="majorHAnsi" w:hAnsiTheme="majorHAnsi"/>
          <w:color w:val="000000" w:themeColor="text1"/>
          <w:sz w:val="24"/>
        </w:rPr>
        <w:t>Avec</w:t>
      </w:r>
      <w:r w:rsidRPr="008B37F3">
        <w:rPr>
          <w:rFonts w:asciiTheme="majorHAnsi" w:hAnsiTheme="majorHAnsi"/>
          <w:color w:val="000000" w:themeColor="text1"/>
          <w:sz w:val="24"/>
        </w:rPr>
        <w:t xml:space="preserve"> le démantèlement de l’</w:t>
      </w:r>
      <w:r>
        <w:rPr>
          <w:rFonts w:asciiTheme="majorHAnsi" w:hAnsiTheme="majorHAnsi"/>
          <w:color w:val="000000" w:themeColor="text1"/>
          <w:sz w:val="24"/>
        </w:rPr>
        <w:t>U.R.S.S</w:t>
      </w:r>
      <w:r w:rsidRPr="008B37F3">
        <w:rPr>
          <w:rFonts w:asciiTheme="majorHAnsi" w:hAnsiTheme="majorHAnsi"/>
          <w:sz w:val="24"/>
        </w:rPr>
        <w:t>.</w:t>
      </w:r>
      <w:r>
        <w:rPr>
          <w:rFonts w:asciiTheme="majorHAnsi" w:hAnsiTheme="majorHAnsi"/>
          <w:sz w:val="24"/>
        </w:rPr>
        <w:t xml:space="preserve"> et l’avènement d’un monde multipolaire, l’ « état voyou » se tourne désormais vers les géants américains </w:t>
      </w:r>
      <w:r w:rsidRPr="00180E06">
        <w:rPr>
          <w:rFonts w:asciiTheme="majorHAnsi" w:hAnsiTheme="majorHAnsi"/>
          <w:sz w:val="24"/>
        </w:rPr>
        <w:t>pour établir des relations diplomatiques nouvelles</w:t>
      </w:r>
      <w:r>
        <w:rPr>
          <w:rFonts w:asciiTheme="majorHAnsi" w:hAnsiTheme="majorHAnsi"/>
          <w:sz w:val="24"/>
        </w:rPr>
        <w:t xml:space="preserve"> mais fragiles</w:t>
      </w:r>
      <w:r>
        <w:rPr>
          <w:rFonts w:asciiTheme="majorHAnsi" w:hAnsiTheme="majorHAnsi"/>
          <w:sz w:val="24"/>
        </w:rPr>
        <w:t xml:space="preserve"> (Canada, Brésil)</w:t>
      </w:r>
      <w:r>
        <w:rPr>
          <w:rFonts w:asciiTheme="majorHAnsi" w:hAnsiTheme="majorHAnsi"/>
          <w:sz w:val="24"/>
        </w:rPr>
        <w:t xml:space="preserve">. </w:t>
      </w:r>
    </w:p>
    <w:p w:rsidR="00582A73" w:rsidRDefault="00582A73" w:rsidP="00582A73">
      <w:pPr>
        <w:spacing w:line="360" w:lineRule="auto"/>
        <w:jc w:val="both"/>
        <w:rPr>
          <w:rFonts w:asciiTheme="majorHAnsi" w:hAnsiTheme="majorHAnsi"/>
          <w:color w:val="000000" w:themeColor="text1"/>
          <w:sz w:val="24"/>
        </w:rPr>
      </w:pPr>
      <w:r>
        <w:rPr>
          <w:rFonts w:asciiTheme="majorHAnsi" w:hAnsiTheme="majorHAnsi"/>
          <w:sz w:val="24"/>
        </w:rPr>
        <w:tab/>
        <w:t xml:space="preserve">Depuis la démocratisation du pays en 1987, </w:t>
      </w:r>
      <w:r w:rsidRPr="00180E06">
        <w:rPr>
          <w:rFonts w:asciiTheme="majorHAnsi" w:hAnsiTheme="majorHAnsi"/>
          <w:sz w:val="24"/>
        </w:rPr>
        <w:t>la Corée du Sud</w:t>
      </w:r>
      <w:r>
        <w:rPr>
          <w:rFonts w:asciiTheme="majorHAnsi" w:hAnsiTheme="majorHAnsi"/>
          <w:sz w:val="24"/>
        </w:rPr>
        <w:t xml:space="preserve"> joue elle-aussi un rôle important dans le « devoir de mémoire » puisqu’elle participe, à travers le lobby sud-coréen au Congrès, à l’édification du premier mémorial national dédié à la guerre. On constate </w:t>
      </w:r>
      <w:r w:rsidR="009553F9">
        <w:rPr>
          <w:rFonts w:asciiTheme="majorHAnsi" w:hAnsiTheme="majorHAnsi"/>
          <w:sz w:val="24"/>
        </w:rPr>
        <w:t>toutefois</w:t>
      </w:r>
      <w:r>
        <w:rPr>
          <w:rFonts w:asciiTheme="majorHAnsi" w:hAnsiTheme="majorHAnsi"/>
          <w:sz w:val="24"/>
        </w:rPr>
        <w:t xml:space="preserve"> que le sens accordé à la mémoire de la guerre varie d’un </w:t>
      </w:r>
      <w:r>
        <w:rPr>
          <w:rFonts w:asciiTheme="majorHAnsi" w:hAnsiTheme="majorHAnsi"/>
          <w:sz w:val="24"/>
        </w:rPr>
        <w:t xml:space="preserve">continent </w:t>
      </w:r>
      <w:r>
        <w:rPr>
          <w:rFonts w:asciiTheme="majorHAnsi" w:hAnsiTheme="majorHAnsi"/>
          <w:sz w:val="24"/>
        </w:rPr>
        <w:t>à l’autre</w:t>
      </w:r>
      <w:r>
        <w:rPr>
          <w:rStyle w:val="FootnoteReference"/>
          <w:rFonts w:asciiTheme="majorHAnsi" w:hAnsiTheme="majorHAnsi"/>
          <w:sz w:val="24"/>
        </w:rPr>
        <w:footnoteReference w:id="7"/>
      </w:r>
      <w:r>
        <w:rPr>
          <w:rFonts w:asciiTheme="majorHAnsi" w:hAnsiTheme="majorHAnsi"/>
          <w:sz w:val="24"/>
        </w:rPr>
        <w:t xml:space="preserve">. Aussi est-il intéressant d’étudier la manière </w:t>
      </w:r>
      <w:r w:rsidRPr="008B37F3">
        <w:rPr>
          <w:rFonts w:asciiTheme="majorHAnsi" w:hAnsiTheme="majorHAnsi"/>
          <w:sz w:val="24"/>
        </w:rPr>
        <w:t>dont</w:t>
      </w:r>
      <w:r w:rsidRPr="008B37F3">
        <w:rPr>
          <w:rFonts w:asciiTheme="majorHAnsi" w:hAnsiTheme="majorHAnsi"/>
          <w:color w:val="000000" w:themeColor="text1"/>
          <w:sz w:val="24"/>
        </w:rPr>
        <w:t xml:space="preserve"> la </w:t>
      </w:r>
      <w:r>
        <w:rPr>
          <w:rFonts w:asciiTheme="majorHAnsi" w:hAnsiTheme="majorHAnsi"/>
          <w:color w:val="000000" w:themeColor="text1"/>
          <w:sz w:val="24"/>
        </w:rPr>
        <w:t xml:space="preserve">mémoire de la guerre de </w:t>
      </w:r>
      <w:r w:rsidRPr="008B37F3">
        <w:rPr>
          <w:rFonts w:asciiTheme="majorHAnsi" w:hAnsiTheme="majorHAnsi"/>
          <w:color w:val="000000" w:themeColor="text1"/>
          <w:sz w:val="24"/>
        </w:rPr>
        <w:t>Corée s’est progressivement inscrit</w:t>
      </w:r>
      <w:r>
        <w:rPr>
          <w:rFonts w:asciiTheme="majorHAnsi" w:hAnsiTheme="majorHAnsi"/>
          <w:color w:val="000000" w:themeColor="text1"/>
          <w:sz w:val="24"/>
        </w:rPr>
        <w:t>e</w:t>
      </w:r>
      <w:r w:rsidRPr="008B37F3">
        <w:rPr>
          <w:rFonts w:asciiTheme="majorHAnsi" w:hAnsiTheme="majorHAnsi"/>
          <w:color w:val="000000" w:themeColor="text1"/>
          <w:sz w:val="24"/>
        </w:rPr>
        <w:t xml:space="preserve"> au </w:t>
      </w:r>
      <w:r>
        <w:rPr>
          <w:rFonts w:asciiTheme="majorHAnsi" w:hAnsiTheme="majorHAnsi"/>
          <w:color w:val="000000" w:themeColor="text1"/>
          <w:sz w:val="24"/>
        </w:rPr>
        <w:t>centre</w:t>
      </w:r>
      <w:r w:rsidRPr="008B37F3">
        <w:rPr>
          <w:rFonts w:asciiTheme="majorHAnsi" w:hAnsiTheme="majorHAnsi"/>
          <w:color w:val="000000" w:themeColor="text1"/>
          <w:sz w:val="24"/>
        </w:rPr>
        <w:t xml:space="preserve"> d’une dynamique </w:t>
      </w:r>
      <w:r>
        <w:rPr>
          <w:rFonts w:asciiTheme="majorHAnsi" w:hAnsiTheme="majorHAnsi"/>
          <w:color w:val="000000" w:themeColor="text1"/>
          <w:sz w:val="24"/>
        </w:rPr>
        <w:t>intercontinentale générant une politique de la mémoire qui à la fois les rapproche et sépare autant qu’elle affecte</w:t>
      </w:r>
      <w:r w:rsidR="009553F9">
        <w:rPr>
          <w:rFonts w:asciiTheme="majorHAnsi" w:hAnsiTheme="majorHAnsi"/>
          <w:color w:val="000000" w:themeColor="text1"/>
          <w:sz w:val="24"/>
        </w:rPr>
        <w:t xml:space="preserve"> </w:t>
      </w:r>
      <w:r>
        <w:rPr>
          <w:rFonts w:asciiTheme="majorHAnsi" w:hAnsiTheme="majorHAnsi"/>
          <w:color w:val="000000" w:themeColor="text1"/>
          <w:sz w:val="24"/>
        </w:rPr>
        <w:t>les relations internationales des deux continents.</w:t>
      </w:r>
    </w:p>
    <w:p w:rsidR="00582A73" w:rsidRPr="00582A73" w:rsidRDefault="00582A73" w:rsidP="00582A73">
      <w:pPr>
        <w:spacing w:line="360" w:lineRule="auto"/>
        <w:jc w:val="both"/>
        <w:rPr>
          <w:rFonts w:asciiTheme="majorHAnsi" w:hAnsiTheme="majorHAnsi"/>
          <w:color w:val="000000" w:themeColor="text1"/>
          <w:sz w:val="24"/>
          <w:lang w:val="en-US"/>
        </w:rPr>
      </w:pPr>
      <w:proofErr w:type="spellStart"/>
      <w:proofErr w:type="gramStart"/>
      <w:r w:rsidRPr="00582A73">
        <w:rPr>
          <w:rFonts w:asciiTheme="majorHAnsi" w:hAnsiTheme="majorHAnsi"/>
          <w:b/>
          <w:color w:val="000000" w:themeColor="text1"/>
          <w:sz w:val="24"/>
          <w:lang w:val="en-US"/>
        </w:rPr>
        <w:t>Bibliographie</w:t>
      </w:r>
      <w:proofErr w:type="spellEnd"/>
      <w:r w:rsidRPr="00582A73">
        <w:rPr>
          <w:rFonts w:asciiTheme="majorHAnsi" w:hAnsiTheme="majorHAnsi"/>
          <w:b/>
          <w:color w:val="000000" w:themeColor="text1"/>
          <w:sz w:val="24"/>
          <w:lang w:val="en-US"/>
        </w:rPr>
        <w:t> </w:t>
      </w:r>
      <w:r w:rsidRPr="00582A73">
        <w:rPr>
          <w:rFonts w:asciiTheme="majorHAnsi" w:hAnsiTheme="majorHAnsi"/>
          <w:color w:val="000000" w:themeColor="text1"/>
          <w:sz w:val="24"/>
          <w:lang w:val="en-US"/>
        </w:rPr>
        <w:t>:</w:t>
      </w:r>
      <w:proofErr w:type="gramEnd"/>
    </w:p>
    <w:p w:rsidR="00582A73" w:rsidRPr="0000380C" w:rsidRDefault="00582A73" w:rsidP="00582A73">
      <w:pPr>
        <w:ind w:left="708"/>
        <w:jc w:val="both"/>
        <w:rPr>
          <w:rFonts w:asciiTheme="majorHAnsi" w:hAnsiTheme="majorHAnsi"/>
          <w:color w:val="000000" w:themeColor="text1"/>
          <w:sz w:val="24"/>
          <w:lang w:val="en-US"/>
        </w:rPr>
      </w:pPr>
      <w:r w:rsidRPr="0000380C">
        <w:rPr>
          <w:rFonts w:asciiTheme="majorHAnsi" w:hAnsiTheme="majorHAnsi"/>
          <w:color w:val="000000" w:themeColor="text1"/>
          <w:sz w:val="24"/>
          <w:lang w:val="en-US"/>
        </w:rPr>
        <w:t xml:space="preserve">Acheson, Dean. </w:t>
      </w:r>
      <w:r w:rsidRPr="0000380C">
        <w:rPr>
          <w:rFonts w:asciiTheme="majorHAnsi" w:hAnsiTheme="majorHAnsi"/>
          <w:i/>
          <w:color w:val="000000" w:themeColor="text1"/>
          <w:sz w:val="24"/>
          <w:lang w:val="en-US"/>
        </w:rPr>
        <w:t xml:space="preserve">Present at </w:t>
      </w:r>
      <w:r>
        <w:rPr>
          <w:rFonts w:asciiTheme="majorHAnsi" w:hAnsiTheme="majorHAnsi"/>
          <w:i/>
          <w:color w:val="000000" w:themeColor="text1"/>
          <w:sz w:val="24"/>
          <w:lang w:val="en-US"/>
        </w:rPr>
        <w:t xml:space="preserve">the </w:t>
      </w:r>
      <w:r w:rsidRPr="0000380C">
        <w:rPr>
          <w:rFonts w:asciiTheme="majorHAnsi" w:hAnsiTheme="majorHAnsi"/>
          <w:i/>
          <w:color w:val="000000" w:themeColor="text1"/>
          <w:sz w:val="24"/>
          <w:lang w:val="en-US"/>
        </w:rPr>
        <w:t>Creation</w:t>
      </w:r>
      <w:r w:rsidRPr="0000380C">
        <w:rPr>
          <w:rFonts w:asciiTheme="majorHAnsi" w:hAnsiTheme="majorHAnsi"/>
          <w:color w:val="000000" w:themeColor="text1"/>
          <w:sz w:val="24"/>
          <w:lang w:val="en-US"/>
        </w:rPr>
        <w:t xml:space="preserve">: </w:t>
      </w:r>
      <w:r>
        <w:rPr>
          <w:rFonts w:asciiTheme="majorHAnsi" w:hAnsiTheme="majorHAnsi"/>
          <w:i/>
          <w:color w:val="000000" w:themeColor="text1"/>
          <w:sz w:val="24"/>
          <w:lang w:val="en-US"/>
        </w:rPr>
        <w:t>My Years in the State Department</w:t>
      </w:r>
      <w:r>
        <w:rPr>
          <w:rFonts w:asciiTheme="majorHAnsi" w:hAnsiTheme="majorHAnsi"/>
          <w:color w:val="000000" w:themeColor="text1"/>
          <w:sz w:val="24"/>
          <w:lang w:val="en-US"/>
        </w:rPr>
        <w:t xml:space="preserve">. New </w:t>
      </w:r>
      <w:r>
        <w:rPr>
          <w:rFonts w:asciiTheme="majorHAnsi" w:hAnsiTheme="majorHAnsi"/>
          <w:color w:val="000000" w:themeColor="text1"/>
          <w:sz w:val="24"/>
          <w:lang w:val="en-US"/>
        </w:rPr>
        <w:tab/>
        <w:t>York, NY: W.W. Norton, 1969.</w:t>
      </w:r>
    </w:p>
    <w:p w:rsidR="00582A73" w:rsidRPr="007B0618" w:rsidRDefault="00582A73" w:rsidP="00582A73">
      <w:pPr>
        <w:ind w:left="708"/>
        <w:jc w:val="both"/>
        <w:rPr>
          <w:rFonts w:asciiTheme="majorHAnsi" w:hAnsiTheme="majorHAnsi"/>
          <w:color w:val="000000" w:themeColor="text1"/>
          <w:sz w:val="24"/>
          <w:lang w:val="en-US"/>
        </w:rPr>
      </w:pPr>
      <w:proofErr w:type="spellStart"/>
      <w:r w:rsidRPr="0000380C">
        <w:rPr>
          <w:rFonts w:asciiTheme="majorHAnsi" w:hAnsiTheme="majorHAnsi"/>
          <w:color w:val="000000" w:themeColor="text1"/>
          <w:sz w:val="24"/>
          <w:lang w:val="en-US"/>
        </w:rPr>
        <w:t>Brune</w:t>
      </w:r>
      <w:proofErr w:type="spellEnd"/>
      <w:r w:rsidRPr="0000380C">
        <w:rPr>
          <w:rFonts w:asciiTheme="majorHAnsi" w:hAnsiTheme="majorHAnsi"/>
          <w:color w:val="000000" w:themeColor="text1"/>
          <w:sz w:val="24"/>
          <w:lang w:val="en-US"/>
        </w:rPr>
        <w:t>, Lester H. (</w:t>
      </w:r>
      <w:proofErr w:type="gramStart"/>
      <w:r w:rsidRPr="0000380C">
        <w:rPr>
          <w:rFonts w:asciiTheme="majorHAnsi" w:hAnsiTheme="majorHAnsi"/>
          <w:color w:val="000000" w:themeColor="text1"/>
          <w:sz w:val="24"/>
          <w:lang w:val="en-US"/>
        </w:rPr>
        <w:t>ed</w:t>
      </w:r>
      <w:proofErr w:type="gramEnd"/>
      <w:r w:rsidRPr="0000380C">
        <w:rPr>
          <w:rFonts w:asciiTheme="majorHAnsi" w:hAnsiTheme="majorHAnsi"/>
          <w:color w:val="000000" w:themeColor="text1"/>
          <w:sz w:val="24"/>
          <w:lang w:val="en-US"/>
        </w:rPr>
        <w:t xml:space="preserve">.). </w:t>
      </w:r>
      <w:r w:rsidRPr="008E441F">
        <w:rPr>
          <w:rFonts w:asciiTheme="majorHAnsi" w:hAnsiTheme="majorHAnsi"/>
          <w:i/>
          <w:color w:val="000000" w:themeColor="text1"/>
          <w:sz w:val="24"/>
          <w:lang w:val="en-US"/>
        </w:rPr>
        <w:t>The Korean War: Handbook of the Literature and Research</w:t>
      </w:r>
      <w:r w:rsidRPr="008E441F">
        <w:rPr>
          <w:rFonts w:asciiTheme="majorHAnsi" w:hAnsiTheme="majorHAnsi"/>
          <w:color w:val="000000" w:themeColor="text1"/>
          <w:sz w:val="24"/>
          <w:lang w:val="en-US"/>
        </w:rPr>
        <w:t xml:space="preserve">. </w:t>
      </w:r>
      <w:r>
        <w:rPr>
          <w:rFonts w:asciiTheme="majorHAnsi" w:hAnsiTheme="majorHAnsi"/>
          <w:color w:val="000000" w:themeColor="text1"/>
          <w:sz w:val="24"/>
          <w:lang w:val="en-US"/>
        </w:rPr>
        <w:tab/>
      </w:r>
      <w:proofErr w:type="spellStart"/>
      <w:r w:rsidRPr="007B0618">
        <w:rPr>
          <w:rFonts w:asciiTheme="majorHAnsi" w:hAnsiTheme="majorHAnsi"/>
          <w:color w:val="000000" w:themeColor="text1"/>
          <w:sz w:val="24"/>
          <w:lang w:val="en-US"/>
        </w:rPr>
        <w:t>Wesport</w:t>
      </w:r>
      <w:proofErr w:type="spellEnd"/>
      <w:r>
        <w:rPr>
          <w:rFonts w:asciiTheme="majorHAnsi" w:hAnsiTheme="majorHAnsi"/>
          <w:color w:val="000000" w:themeColor="text1"/>
          <w:sz w:val="24"/>
          <w:lang w:val="en-US"/>
        </w:rPr>
        <w:t>, CT</w:t>
      </w:r>
      <w:r w:rsidRPr="007B0618">
        <w:rPr>
          <w:rFonts w:asciiTheme="majorHAnsi" w:hAnsiTheme="majorHAnsi"/>
          <w:color w:val="000000" w:themeColor="text1"/>
          <w:sz w:val="24"/>
          <w:lang w:val="en-US"/>
        </w:rPr>
        <w:t>: Greenwood Press, 1996.</w:t>
      </w:r>
    </w:p>
    <w:p w:rsidR="00582A73" w:rsidRDefault="00582A73" w:rsidP="00582A73">
      <w:pPr>
        <w:ind w:left="708"/>
        <w:jc w:val="both"/>
        <w:rPr>
          <w:rFonts w:asciiTheme="majorHAnsi" w:hAnsiTheme="majorHAnsi"/>
          <w:sz w:val="24"/>
          <w:lang w:val="en-US"/>
        </w:rPr>
      </w:pPr>
      <w:r w:rsidRPr="00F707AB">
        <w:rPr>
          <w:rFonts w:asciiTheme="majorHAnsi" w:hAnsiTheme="majorHAnsi"/>
          <w:sz w:val="24"/>
          <w:lang w:val="en-US"/>
        </w:rPr>
        <w:t xml:space="preserve">Chambers II, John </w:t>
      </w:r>
      <w:proofErr w:type="spellStart"/>
      <w:r w:rsidRPr="00F707AB">
        <w:rPr>
          <w:rFonts w:asciiTheme="majorHAnsi" w:hAnsiTheme="majorHAnsi"/>
          <w:sz w:val="24"/>
          <w:lang w:val="en-US"/>
        </w:rPr>
        <w:t>W</w:t>
      </w:r>
      <w:r>
        <w:rPr>
          <w:rFonts w:asciiTheme="majorHAnsi" w:hAnsiTheme="majorHAnsi"/>
          <w:sz w:val="24"/>
          <w:lang w:val="en-US"/>
        </w:rPr>
        <w:t>hiteclay</w:t>
      </w:r>
      <w:proofErr w:type="spellEnd"/>
      <w:r w:rsidRPr="00F707AB">
        <w:rPr>
          <w:rFonts w:asciiTheme="majorHAnsi" w:hAnsiTheme="majorHAnsi"/>
          <w:sz w:val="24"/>
          <w:lang w:val="en-US"/>
        </w:rPr>
        <w:t>. (</w:t>
      </w:r>
      <w:proofErr w:type="gramStart"/>
      <w:r w:rsidRPr="00F707AB">
        <w:rPr>
          <w:rFonts w:asciiTheme="majorHAnsi" w:hAnsiTheme="majorHAnsi"/>
          <w:sz w:val="24"/>
          <w:lang w:val="en-US"/>
        </w:rPr>
        <w:t>ed</w:t>
      </w:r>
      <w:proofErr w:type="gramEnd"/>
      <w:r w:rsidRPr="00F707AB">
        <w:rPr>
          <w:rFonts w:asciiTheme="majorHAnsi" w:hAnsiTheme="majorHAnsi"/>
          <w:sz w:val="24"/>
          <w:lang w:val="en-US"/>
        </w:rPr>
        <w:t xml:space="preserve">.). </w:t>
      </w:r>
      <w:proofErr w:type="gramStart"/>
      <w:r w:rsidRPr="00F707AB">
        <w:rPr>
          <w:rFonts w:asciiTheme="majorHAnsi" w:hAnsiTheme="majorHAnsi"/>
          <w:i/>
          <w:sz w:val="24"/>
          <w:lang w:val="en-US"/>
        </w:rPr>
        <w:t xml:space="preserve">The Oxford Companion to American Military </w:t>
      </w:r>
      <w:r>
        <w:rPr>
          <w:rFonts w:asciiTheme="majorHAnsi" w:hAnsiTheme="majorHAnsi"/>
          <w:i/>
          <w:sz w:val="24"/>
          <w:lang w:val="en-US"/>
        </w:rPr>
        <w:tab/>
      </w:r>
      <w:r w:rsidRPr="00F707AB">
        <w:rPr>
          <w:rFonts w:asciiTheme="majorHAnsi" w:hAnsiTheme="majorHAnsi"/>
          <w:i/>
          <w:sz w:val="24"/>
          <w:lang w:val="en-US"/>
        </w:rPr>
        <w:t>History</w:t>
      </w:r>
      <w:r w:rsidRPr="00F707AB">
        <w:rPr>
          <w:rFonts w:asciiTheme="majorHAnsi" w:hAnsiTheme="majorHAnsi"/>
          <w:sz w:val="24"/>
          <w:lang w:val="en-US"/>
        </w:rPr>
        <w:t>.</w:t>
      </w:r>
      <w:proofErr w:type="gramEnd"/>
      <w:r w:rsidRPr="00F707AB">
        <w:rPr>
          <w:rFonts w:asciiTheme="majorHAnsi" w:hAnsiTheme="majorHAnsi"/>
          <w:sz w:val="24"/>
          <w:lang w:val="en-US"/>
        </w:rPr>
        <w:t xml:space="preserve"> New York, NY: Oxford University Press, 1999</w:t>
      </w:r>
    </w:p>
    <w:p w:rsidR="00582A73" w:rsidRDefault="00582A73" w:rsidP="00582A73">
      <w:pPr>
        <w:ind w:left="708"/>
        <w:jc w:val="both"/>
        <w:rPr>
          <w:rFonts w:asciiTheme="majorHAnsi" w:hAnsiTheme="majorHAnsi"/>
          <w:sz w:val="24"/>
          <w:lang w:val="en-US"/>
        </w:rPr>
      </w:pPr>
      <w:r w:rsidRPr="006D40B5">
        <w:rPr>
          <w:rFonts w:asciiTheme="majorHAnsi" w:hAnsiTheme="majorHAnsi"/>
          <w:sz w:val="24"/>
          <w:lang w:val="en-US"/>
        </w:rPr>
        <w:t xml:space="preserve">Choi, </w:t>
      </w:r>
      <w:proofErr w:type="spellStart"/>
      <w:r w:rsidRPr="006D40B5">
        <w:rPr>
          <w:rFonts w:asciiTheme="majorHAnsi" w:hAnsiTheme="majorHAnsi"/>
          <w:sz w:val="24"/>
          <w:lang w:val="en-US"/>
        </w:rPr>
        <w:t>Suhi</w:t>
      </w:r>
      <w:proofErr w:type="spellEnd"/>
      <w:r w:rsidRPr="006D40B5">
        <w:rPr>
          <w:rFonts w:asciiTheme="majorHAnsi" w:hAnsiTheme="majorHAnsi"/>
          <w:sz w:val="24"/>
          <w:lang w:val="en-US"/>
        </w:rPr>
        <w:t xml:space="preserve">. </w:t>
      </w:r>
      <w:r w:rsidRPr="00231A77">
        <w:rPr>
          <w:rFonts w:asciiTheme="majorHAnsi" w:hAnsiTheme="majorHAnsi"/>
          <w:i/>
          <w:sz w:val="24"/>
          <w:lang w:val="en-US"/>
        </w:rPr>
        <w:t>Embattled Memories: Contested Meanings in Korean War Memorials</w:t>
      </w:r>
      <w:r w:rsidRPr="006D40B5">
        <w:rPr>
          <w:rFonts w:asciiTheme="majorHAnsi" w:hAnsiTheme="majorHAnsi"/>
          <w:sz w:val="24"/>
          <w:lang w:val="en-US"/>
        </w:rPr>
        <w:t xml:space="preserve">. </w:t>
      </w:r>
      <w:r>
        <w:rPr>
          <w:rFonts w:asciiTheme="majorHAnsi" w:hAnsiTheme="majorHAnsi"/>
          <w:sz w:val="24"/>
          <w:lang w:val="en-US"/>
        </w:rPr>
        <w:tab/>
      </w:r>
      <w:r w:rsidRPr="007A5729">
        <w:rPr>
          <w:rFonts w:asciiTheme="majorHAnsi" w:hAnsiTheme="majorHAnsi"/>
          <w:sz w:val="24"/>
          <w:lang w:val="en-US"/>
        </w:rPr>
        <w:t>Reno: University of Nevada Press, 2014.</w:t>
      </w:r>
    </w:p>
    <w:p w:rsidR="00582A73" w:rsidRPr="007A5729" w:rsidRDefault="00582A73" w:rsidP="00582A73">
      <w:pPr>
        <w:ind w:left="708"/>
        <w:jc w:val="both"/>
        <w:rPr>
          <w:rFonts w:asciiTheme="majorHAnsi" w:hAnsiTheme="majorHAnsi"/>
          <w:sz w:val="24"/>
          <w:lang w:val="en-US"/>
        </w:rPr>
      </w:pPr>
      <w:r w:rsidRPr="00D1468B">
        <w:rPr>
          <w:rFonts w:asciiTheme="majorHAnsi" w:hAnsiTheme="majorHAnsi"/>
          <w:sz w:val="24"/>
          <w:lang w:val="en-US"/>
        </w:rPr>
        <w:t xml:space="preserve">Clark, Joe. </w:t>
      </w:r>
      <w:r w:rsidRPr="00D1468B">
        <w:rPr>
          <w:rFonts w:asciiTheme="majorHAnsi" w:hAnsiTheme="majorHAnsi"/>
          <w:i/>
          <w:sz w:val="24"/>
          <w:lang w:val="en-US"/>
        </w:rPr>
        <w:t>How We Lead: Canada in a Century of Change</w:t>
      </w:r>
      <w:r>
        <w:rPr>
          <w:rFonts w:asciiTheme="majorHAnsi" w:hAnsiTheme="majorHAnsi"/>
          <w:sz w:val="24"/>
          <w:lang w:val="en-US"/>
        </w:rPr>
        <w:t>.</w:t>
      </w:r>
      <w:r w:rsidRPr="00D1468B">
        <w:rPr>
          <w:rFonts w:asciiTheme="majorHAnsi" w:hAnsiTheme="majorHAnsi"/>
          <w:sz w:val="24"/>
          <w:lang w:val="en-US"/>
        </w:rPr>
        <w:t xml:space="preserve"> </w:t>
      </w:r>
      <w:r>
        <w:rPr>
          <w:rFonts w:asciiTheme="majorHAnsi" w:hAnsiTheme="majorHAnsi"/>
          <w:sz w:val="24"/>
          <w:lang w:val="en-US"/>
        </w:rPr>
        <w:t xml:space="preserve">Toronto, Canada: </w:t>
      </w:r>
      <w:r>
        <w:rPr>
          <w:rFonts w:asciiTheme="majorHAnsi" w:hAnsiTheme="majorHAnsi"/>
          <w:sz w:val="24"/>
          <w:lang w:val="en-US"/>
        </w:rPr>
        <w:tab/>
        <w:t>Random House, 2014</w:t>
      </w:r>
      <w:r w:rsidRPr="00D1468B">
        <w:rPr>
          <w:rFonts w:asciiTheme="majorHAnsi" w:hAnsiTheme="majorHAnsi"/>
          <w:sz w:val="24"/>
          <w:lang w:val="en-US"/>
        </w:rPr>
        <w:t>.</w:t>
      </w:r>
    </w:p>
    <w:p w:rsidR="00582A73" w:rsidRPr="00582A73" w:rsidRDefault="00582A73" w:rsidP="00582A73">
      <w:pPr>
        <w:ind w:left="708"/>
        <w:jc w:val="both"/>
        <w:rPr>
          <w:rFonts w:asciiTheme="majorHAnsi" w:hAnsiTheme="majorHAnsi"/>
          <w:b/>
          <w:sz w:val="24"/>
          <w:u w:val="single"/>
        </w:rPr>
      </w:pPr>
      <w:proofErr w:type="spellStart"/>
      <w:r w:rsidRPr="007A5729">
        <w:rPr>
          <w:rFonts w:asciiTheme="majorHAnsi" w:hAnsiTheme="majorHAnsi"/>
          <w:sz w:val="24"/>
          <w:lang w:val="en-US"/>
        </w:rPr>
        <w:t>Cumings</w:t>
      </w:r>
      <w:proofErr w:type="spellEnd"/>
      <w:r w:rsidRPr="007A5729">
        <w:rPr>
          <w:rFonts w:asciiTheme="majorHAnsi" w:hAnsiTheme="majorHAnsi"/>
          <w:sz w:val="24"/>
          <w:lang w:val="en-US"/>
        </w:rPr>
        <w:t xml:space="preserve">, Bruce. </w:t>
      </w:r>
      <w:proofErr w:type="gramStart"/>
      <w:r w:rsidRPr="008D14AA">
        <w:rPr>
          <w:rFonts w:asciiTheme="majorHAnsi" w:hAnsiTheme="majorHAnsi"/>
          <w:i/>
          <w:sz w:val="24"/>
          <w:lang w:val="en-US"/>
        </w:rPr>
        <w:t>&amp; Jon Halliday.</w:t>
      </w:r>
      <w:proofErr w:type="gramEnd"/>
      <w:r w:rsidRPr="008D14AA">
        <w:rPr>
          <w:rFonts w:asciiTheme="majorHAnsi" w:hAnsiTheme="majorHAnsi"/>
          <w:i/>
          <w:sz w:val="24"/>
          <w:lang w:val="en-US"/>
        </w:rPr>
        <w:t xml:space="preserve"> Korea: The Unknown War </w:t>
      </w:r>
      <w:r w:rsidRPr="008D14AA">
        <w:rPr>
          <w:rFonts w:asciiTheme="majorHAnsi" w:hAnsiTheme="majorHAnsi"/>
          <w:sz w:val="24"/>
          <w:lang w:val="en-US"/>
        </w:rPr>
        <w:t xml:space="preserve">(1st American </w:t>
      </w:r>
      <w:proofErr w:type="gramStart"/>
      <w:r w:rsidRPr="008D14AA">
        <w:rPr>
          <w:rFonts w:asciiTheme="majorHAnsi" w:hAnsiTheme="majorHAnsi"/>
          <w:sz w:val="24"/>
          <w:lang w:val="en-US"/>
        </w:rPr>
        <w:t>ed</w:t>
      </w:r>
      <w:proofErr w:type="gramEnd"/>
      <w:r w:rsidRPr="008D14AA">
        <w:rPr>
          <w:rFonts w:asciiTheme="majorHAnsi" w:hAnsiTheme="majorHAnsi"/>
          <w:sz w:val="24"/>
          <w:lang w:val="en-US"/>
        </w:rPr>
        <w:t>.).</w:t>
      </w:r>
      <w:r w:rsidRPr="008D14AA">
        <w:rPr>
          <w:rFonts w:asciiTheme="majorHAnsi" w:hAnsiTheme="majorHAnsi"/>
          <w:i/>
          <w:sz w:val="24"/>
          <w:lang w:val="en-US"/>
        </w:rPr>
        <w:t xml:space="preserve"> </w:t>
      </w:r>
      <w:r w:rsidRPr="00582A73">
        <w:rPr>
          <w:rFonts w:asciiTheme="majorHAnsi" w:hAnsiTheme="majorHAnsi"/>
          <w:sz w:val="24"/>
        </w:rPr>
        <w:t xml:space="preserve">New </w:t>
      </w:r>
      <w:r w:rsidRPr="00582A73">
        <w:rPr>
          <w:rFonts w:asciiTheme="majorHAnsi" w:hAnsiTheme="majorHAnsi"/>
          <w:sz w:val="24"/>
        </w:rPr>
        <w:tab/>
        <w:t xml:space="preserve">York: </w:t>
      </w:r>
      <w:proofErr w:type="spellStart"/>
      <w:r w:rsidRPr="00582A73">
        <w:rPr>
          <w:rFonts w:asciiTheme="majorHAnsi" w:hAnsiTheme="majorHAnsi"/>
          <w:sz w:val="24"/>
        </w:rPr>
        <w:t>Pantheon</w:t>
      </w:r>
      <w:proofErr w:type="spellEnd"/>
      <w:r w:rsidRPr="00582A73">
        <w:rPr>
          <w:rFonts w:asciiTheme="majorHAnsi" w:hAnsiTheme="majorHAnsi"/>
          <w:sz w:val="24"/>
        </w:rPr>
        <w:t xml:space="preserve"> Books, 1988.</w:t>
      </w:r>
    </w:p>
    <w:p w:rsidR="00582A73" w:rsidRDefault="00582A73" w:rsidP="00582A73">
      <w:pPr>
        <w:ind w:left="708"/>
        <w:jc w:val="both"/>
        <w:rPr>
          <w:rFonts w:asciiTheme="majorHAnsi" w:hAnsiTheme="majorHAnsi"/>
          <w:sz w:val="24"/>
        </w:rPr>
      </w:pPr>
      <w:proofErr w:type="spellStart"/>
      <w:r w:rsidRPr="00D90E40">
        <w:rPr>
          <w:rFonts w:asciiTheme="majorHAnsi" w:hAnsiTheme="majorHAnsi"/>
          <w:sz w:val="24"/>
        </w:rPr>
        <w:t>Jablonka</w:t>
      </w:r>
      <w:proofErr w:type="spellEnd"/>
      <w:r w:rsidRPr="00D90E40">
        <w:rPr>
          <w:rFonts w:asciiTheme="majorHAnsi" w:hAnsiTheme="majorHAnsi"/>
          <w:sz w:val="24"/>
        </w:rPr>
        <w:t xml:space="preserve">, </w:t>
      </w:r>
      <w:r>
        <w:rPr>
          <w:rFonts w:asciiTheme="majorHAnsi" w:hAnsiTheme="majorHAnsi"/>
          <w:sz w:val="24"/>
        </w:rPr>
        <w:t xml:space="preserve">Ivan. </w:t>
      </w:r>
      <w:r w:rsidRPr="00D90E40">
        <w:rPr>
          <w:rFonts w:asciiTheme="majorHAnsi" w:hAnsiTheme="majorHAnsi"/>
          <w:sz w:val="24"/>
        </w:rPr>
        <w:t>« Les historiens américai</w:t>
      </w:r>
      <w:r>
        <w:rPr>
          <w:rFonts w:asciiTheme="majorHAnsi" w:hAnsiTheme="majorHAnsi"/>
          <w:sz w:val="24"/>
        </w:rPr>
        <w:t>ns aux prises avec leur école » dans</w:t>
      </w:r>
      <w:r w:rsidRPr="00D90E40">
        <w:rPr>
          <w:rFonts w:asciiTheme="majorHAnsi" w:hAnsiTheme="majorHAnsi"/>
          <w:sz w:val="24"/>
        </w:rPr>
        <w:t xml:space="preserve"> </w:t>
      </w:r>
      <w:r>
        <w:rPr>
          <w:rFonts w:asciiTheme="majorHAnsi" w:hAnsiTheme="majorHAnsi"/>
          <w:sz w:val="24"/>
        </w:rPr>
        <w:tab/>
      </w:r>
      <w:r w:rsidRPr="00D90E40">
        <w:rPr>
          <w:rFonts w:asciiTheme="majorHAnsi" w:hAnsiTheme="majorHAnsi"/>
          <w:i/>
          <w:sz w:val="24"/>
        </w:rPr>
        <w:t>Histoire de l’éducation</w:t>
      </w:r>
      <w:r>
        <w:rPr>
          <w:rFonts w:asciiTheme="majorHAnsi" w:hAnsiTheme="majorHAnsi"/>
          <w:sz w:val="24"/>
        </w:rPr>
        <w:t>, 89,</w:t>
      </w:r>
      <w:r w:rsidRPr="00D90E40">
        <w:rPr>
          <w:rFonts w:asciiTheme="majorHAnsi" w:hAnsiTheme="majorHAnsi"/>
          <w:sz w:val="24"/>
        </w:rPr>
        <w:t xml:space="preserve"> 2001, </w:t>
      </w:r>
      <w:r>
        <w:rPr>
          <w:rFonts w:asciiTheme="majorHAnsi" w:hAnsiTheme="majorHAnsi"/>
          <w:sz w:val="24"/>
        </w:rPr>
        <w:t>pp.</w:t>
      </w:r>
      <w:r w:rsidRPr="00D90E40">
        <w:rPr>
          <w:rFonts w:asciiTheme="majorHAnsi" w:hAnsiTheme="majorHAnsi"/>
          <w:sz w:val="24"/>
        </w:rPr>
        <w:t>3-58.</w:t>
      </w:r>
    </w:p>
    <w:p w:rsidR="00582A73" w:rsidRPr="00D1468B" w:rsidRDefault="00582A73" w:rsidP="00582A73">
      <w:pPr>
        <w:ind w:left="708"/>
        <w:jc w:val="both"/>
        <w:rPr>
          <w:rFonts w:asciiTheme="majorHAnsi" w:hAnsiTheme="majorHAnsi"/>
          <w:sz w:val="24"/>
          <w:lang w:val="en-US"/>
        </w:rPr>
      </w:pPr>
      <w:r w:rsidRPr="00D1468B">
        <w:rPr>
          <w:rFonts w:asciiTheme="majorHAnsi" w:hAnsiTheme="majorHAnsi"/>
          <w:sz w:val="24"/>
          <w:lang w:val="en-US"/>
        </w:rPr>
        <w:t xml:space="preserve">Lee, Steven Hugh. </w:t>
      </w:r>
      <w:proofErr w:type="gramStart"/>
      <w:r w:rsidRPr="00D1468B">
        <w:rPr>
          <w:rFonts w:asciiTheme="majorHAnsi" w:hAnsiTheme="majorHAnsi"/>
          <w:i/>
          <w:sz w:val="24"/>
          <w:lang w:val="en-US"/>
        </w:rPr>
        <w:t>The Korean War</w:t>
      </w:r>
      <w:r>
        <w:rPr>
          <w:rFonts w:asciiTheme="majorHAnsi" w:hAnsiTheme="majorHAnsi"/>
          <w:sz w:val="24"/>
          <w:lang w:val="en-US"/>
        </w:rPr>
        <w:t>.</w:t>
      </w:r>
      <w:proofErr w:type="gramEnd"/>
      <w:r>
        <w:rPr>
          <w:rFonts w:asciiTheme="majorHAnsi" w:hAnsiTheme="majorHAnsi"/>
          <w:sz w:val="24"/>
          <w:lang w:val="en-US"/>
        </w:rPr>
        <w:t xml:space="preserve"> Harlow, England: Pearson Education Limited, </w:t>
      </w:r>
      <w:r>
        <w:rPr>
          <w:rFonts w:asciiTheme="majorHAnsi" w:hAnsiTheme="majorHAnsi"/>
          <w:sz w:val="24"/>
          <w:lang w:val="en-US"/>
        </w:rPr>
        <w:tab/>
        <w:t>2001.</w:t>
      </w:r>
    </w:p>
    <w:p w:rsidR="00582A73" w:rsidRPr="0022317A" w:rsidRDefault="00582A73" w:rsidP="00582A73">
      <w:pPr>
        <w:ind w:left="708"/>
        <w:jc w:val="both"/>
        <w:rPr>
          <w:rFonts w:asciiTheme="majorHAnsi" w:hAnsiTheme="majorHAnsi"/>
          <w:sz w:val="24"/>
          <w:lang w:val="en-US"/>
        </w:rPr>
      </w:pPr>
      <w:r w:rsidRPr="0022317A">
        <w:rPr>
          <w:rFonts w:asciiTheme="majorHAnsi" w:hAnsiTheme="majorHAnsi"/>
          <w:sz w:val="24"/>
          <w:lang w:val="en-US"/>
        </w:rPr>
        <w:lastRenderedPageBreak/>
        <w:t xml:space="preserve">Sandler, Stanley. </w:t>
      </w:r>
      <w:r w:rsidRPr="0022317A">
        <w:rPr>
          <w:rFonts w:asciiTheme="majorHAnsi" w:hAnsiTheme="majorHAnsi"/>
          <w:i/>
          <w:sz w:val="24"/>
          <w:lang w:val="en-US"/>
        </w:rPr>
        <w:t>The Korean War: An Encyclopedia</w:t>
      </w:r>
      <w:r>
        <w:rPr>
          <w:rFonts w:asciiTheme="majorHAnsi" w:hAnsiTheme="majorHAnsi"/>
          <w:sz w:val="24"/>
          <w:lang w:val="en-US"/>
        </w:rPr>
        <w:t xml:space="preserve"> (1st </w:t>
      </w:r>
      <w:proofErr w:type="gramStart"/>
      <w:r>
        <w:rPr>
          <w:rFonts w:asciiTheme="majorHAnsi" w:hAnsiTheme="majorHAnsi"/>
          <w:sz w:val="24"/>
          <w:lang w:val="en-US"/>
        </w:rPr>
        <w:t>ed</w:t>
      </w:r>
      <w:proofErr w:type="gramEnd"/>
      <w:r>
        <w:rPr>
          <w:rFonts w:asciiTheme="majorHAnsi" w:hAnsiTheme="majorHAnsi"/>
          <w:sz w:val="24"/>
          <w:lang w:val="en-US"/>
        </w:rPr>
        <w:t>.). New York, NY</w:t>
      </w:r>
      <w:r>
        <w:rPr>
          <w:rFonts w:asciiTheme="majorHAnsi" w:hAnsiTheme="majorHAnsi"/>
          <w:sz w:val="24"/>
          <w:lang w:val="en-US"/>
        </w:rPr>
        <w:tab/>
      </w:r>
      <w:r w:rsidRPr="0022317A">
        <w:rPr>
          <w:rFonts w:asciiTheme="majorHAnsi" w:hAnsiTheme="majorHAnsi"/>
          <w:sz w:val="24"/>
          <w:lang w:val="en-US"/>
        </w:rPr>
        <w:t>Garland Publishing Inc., 1995.</w:t>
      </w:r>
    </w:p>
    <w:p w:rsidR="00991686" w:rsidRPr="00582A73" w:rsidRDefault="00D079F4">
      <w:pPr>
        <w:rPr>
          <w:lang w:val="en-US"/>
        </w:rPr>
      </w:pPr>
    </w:p>
    <w:sectPr w:rsidR="00991686" w:rsidRPr="00582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F4" w:rsidRDefault="00D079F4" w:rsidP="00582A73">
      <w:pPr>
        <w:spacing w:after="0" w:line="240" w:lineRule="auto"/>
      </w:pPr>
      <w:r>
        <w:separator/>
      </w:r>
    </w:p>
  </w:endnote>
  <w:endnote w:type="continuationSeparator" w:id="0">
    <w:p w:rsidR="00D079F4" w:rsidRDefault="00D079F4" w:rsidP="0058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F4" w:rsidRDefault="00D079F4" w:rsidP="00582A73">
      <w:pPr>
        <w:spacing w:after="0" w:line="240" w:lineRule="auto"/>
      </w:pPr>
      <w:r>
        <w:separator/>
      </w:r>
    </w:p>
  </w:footnote>
  <w:footnote w:type="continuationSeparator" w:id="0">
    <w:p w:rsidR="00D079F4" w:rsidRDefault="00D079F4" w:rsidP="00582A73">
      <w:pPr>
        <w:spacing w:after="0" w:line="240" w:lineRule="auto"/>
      </w:pPr>
      <w:r>
        <w:continuationSeparator/>
      </w:r>
    </w:p>
  </w:footnote>
  <w:footnote w:id="1">
    <w:p w:rsidR="00582A73" w:rsidRPr="006D40B5" w:rsidRDefault="00582A73" w:rsidP="00582A73">
      <w:pPr>
        <w:pStyle w:val="FootnoteText"/>
        <w:jc w:val="both"/>
        <w:rPr>
          <w:b/>
          <w:u w:val="single"/>
          <w:lang w:val="en-US"/>
        </w:rPr>
      </w:pPr>
      <w:r>
        <w:rPr>
          <w:rStyle w:val="FootnoteReference"/>
        </w:rPr>
        <w:footnoteRef/>
      </w:r>
      <w:r>
        <w:t xml:space="preserve"> Certains historiens la disent plus « méconnue » qu’ « oubliée ». </w:t>
      </w:r>
      <w:proofErr w:type="spellStart"/>
      <w:r>
        <w:rPr>
          <w:lang w:val="en-US"/>
        </w:rPr>
        <w:t>Cumings</w:t>
      </w:r>
      <w:proofErr w:type="spellEnd"/>
      <w:r>
        <w:rPr>
          <w:lang w:val="en-US"/>
        </w:rPr>
        <w:t>, B.</w:t>
      </w:r>
      <w:r w:rsidRPr="008D14AA">
        <w:rPr>
          <w:lang w:val="en-US"/>
        </w:rPr>
        <w:t xml:space="preserve"> </w:t>
      </w:r>
      <w:r>
        <w:rPr>
          <w:lang w:val="en-US"/>
        </w:rPr>
        <w:t>&amp; co</w:t>
      </w:r>
      <w:r w:rsidRPr="008D14AA">
        <w:rPr>
          <w:lang w:val="en-US"/>
        </w:rPr>
        <w:t xml:space="preserve">. </w:t>
      </w:r>
      <w:r w:rsidRPr="008D14AA">
        <w:rPr>
          <w:i/>
          <w:lang w:val="en-US"/>
        </w:rPr>
        <w:t>Korea: The Unknown War</w:t>
      </w:r>
      <w:r>
        <w:rPr>
          <w:lang w:val="en-US"/>
        </w:rPr>
        <w:t>,</w:t>
      </w:r>
      <w:r>
        <w:rPr>
          <w:lang w:val="en-US"/>
        </w:rPr>
        <w:t xml:space="preserve"> 1988.</w:t>
      </w:r>
    </w:p>
  </w:footnote>
  <w:footnote w:id="2">
    <w:p w:rsidR="00582A73" w:rsidRPr="00D1468B" w:rsidRDefault="00582A73" w:rsidP="00582A73">
      <w:pPr>
        <w:pStyle w:val="FootnoteText"/>
        <w:rPr>
          <w:lang w:val="en-US"/>
        </w:rPr>
      </w:pPr>
      <w:r>
        <w:rPr>
          <w:rStyle w:val="FootnoteReference"/>
        </w:rPr>
        <w:footnoteRef/>
      </w:r>
      <w:r w:rsidRPr="0000380C">
        <w:rPr>
          <w:lang w:val="en-US"/>
        </w:rPr>
        <w:t xml:space="preserve"> </w:t>
      </w:r>
      <w:r>
        <w:rPr>
          <w:lang w:val="en-US"/>
        </w:rPr>
        <w:t>Lee</w:t>
      </w:r>
      <w:r>
        <w:rPr>
          <w:lang w:val="en-US"/>
        </w:rPr>
        <w:t xml:space="preserve">. </w:t>
      </w:r>
      <w:proofErr w:type="gramStart"/>
      <w:r>
        <w:rPr>
          <w:i/>
          <w:lang w:val="en-US"/>
        </w:rPr>
        <w:t>The Korean War</w:t>
      </w:r>
      <w:r>
        <w:rPr>
          <w:lang w:val="en-US"/>
        </w:rPr>
        <w:t>, 2001, pp.126-7.</w:t>
      </w:r>
      <w:proofErr w:type="gramEnd"/>
    </w:p>
  </w:footnote>
  <w:footnote w:id="3">
    <w:p w:rsidR="00582A73" w:rsidRPr="0022317A" w:rsidRDefault="00582A73" w:rsidP="00582A73">
      <w:pPr>
        <w:pStyle w:val="FootnoteText"/>
        <w:jc w:val="both"/>
        <w:rPr>
          <w:lang w:val="en-US"/>
        </w:rPr>
      </w:pPr>
      <w:r>
        <w:rPr>
          <w:rStyle w:val="FootnoteReference"/>
        </w:rPr>
        <w:footnoteRef/>
      </w:r>
      <w:r w:rsidRPr="00582A73">
        <w:t xml:space="preserve"> </w:t>
      </w:r>
      <w:proofErr w:type="spellStart"/>
      <w:r>
        <w:t>S</w:t>
      </w:r>
      <w:r w:rsidRPr="00582A73">
        <w:t>andler</w:t>
      </w:r>
      <w:proofErr w:type="spellEnd"/>
      <w:r w:rsidRPr="00582A73">
        <w:t xml:space="preserve"> l’a baptisée la « première guerre idéologique » des État</w:t>
      </w:r>
      <w:r w:rsidRPr="00F455A6">
        <w:t xml:space="preserve">s-Unis. </w:t>
      </w:r>
      <w:r w:rsidRPr="0022317A">
        <w:rPr>
          <w:i/>
          <w:lang w:val="en-US"/>
        </w:rPr>
        <w:t>The Korean War:</w:t>
      </w:r>
      <w:r>
        <w:rPr>
          <w:i/>
          <w:lang w:val="en-US"/>
        </w:rPr>
        <w:t xml:space="preserve"> An Encyclopedia</w:t>
      </w:r>
      <w:r w:rsidRPr="0022317A">
        <w:rPr>
          <w:lang w:val="en-US"/>
        </w:rPr>
        <w:t>,</w:t>
      </w:r>
      <w:r>
        <w:rPr>
          <w:lang w:val="en-US"/>
        </w:rPr>
        <w:t xml:space="preserve"> 1995.</w:t>
      </w:r>
    </w:p>
  </w:footnote>
  <w:footnote w:id="4">
    <w:p w:rsidR="00582A73" w:rsidRPr="007B0618" w:rsidRDefault="00582A73" w:rsidP="00582A73">
      <w:pPr>
        <w:pStyle w:val="FootnoteText"/>
        <w:jc w:val="both"/>
        <w:rPr>
          <w:lang w:val="en-US"/>
        </w:rPr>
      </w:pPr>
      <w:r>
        <w:rPr>
          <w:rStyle w:val="FootnoteReference"/>
        </w:rPr>
        <w:footnoteRef/>
      </w:r>
      <w:r>
        <w:rPr>
          <w:lang w:val="en-US"/>
        </w:rPr>
        <w:t xml:space="preserve"> </w:t>
      </w:r>
      <w:proofErr w:type="spellStart"/>
      <w:proofErr w:type="gramStart"/>
      <w:r>
        <w:rPr>
          <w:lang w:val="en-US"/>
        </w:rPr>
        <w:t>Brune</w:t>
      </w:r>
      <w:proofErr w:type="spellEnd"/>
      <w:r w:rsidRPr="008E441F">
        <w:rPr>
          <w:lang w:val="en-US"/>
        </w:rPr>
        <w:t>.</w:t>
      </w:r>
      <w:proofErr w:type="gramEnd"/>
      <w:r w:rsidRPr="008E441F">
        <w:rPr>
          <w:lang w:val="en-US"/>
        </w:rPr>
        <w:t xml:space="preserve"> </w:t>
      </w:r>
      <w:r w:rsidRPr="008E441F">
        <w:rPr>
          <w:i/>
          <w:lang w:val="en-US"/>
        </w:rPr>
        <w:t>The Korean War: Handbook of the Literature and Research</w:t>
      </w:r>
      <w:r>
        <w:rPr>
          <w:lang w:val="en-US"/>
        </w:rPr>
        <w:t xml:space="preserve">, </w:t>
      </w:r>
      <w:r w:rsidRPr="007B0618">
        <w:rPr>
          <w:lang w:val="en-US"/>
        </w:rPr>
        <w:t>1996.</w:t>
      </w:r>
    </w:p>
  </w:footnote>
  <w:footnote w:id="5">
    <w:p w:rsidR="00582A73" w:rsidRPr="0000380C" w:rsidRDefault="00582A73" w:rsidP="00582A73">
      <w:pPr>
        <w:pStyle w:val="FootnoteText"/>
        <w:jc w:val="both"/>
        <w:rPr>
          <w:lang w:val="en-US"/>
        </w:rPr>
      </w:pPr>
      <w:r>
        <w:rPr>
          <w:rStyle w:val="FootnoteReference"/>
        </w:rPr>
        <w:footnoteRef/>
      </w:r>
      <w:r>
        <w:rPr>
          <w:lang w:val="en-US"/>
        </w:rPr>
        <w:t xml:space="preserve"> </w:t>
      </w:r>
      <w:proofErr w:type="gramStart"/>
      <w:r>
        <w:rPr>
          <w:lang w:val="en-US"/>
        </w:rPr>
        <w:t>Schaller.</w:t>
      </w:r>
      <w:proofErr w:type="gramEnd"/>
      <w:r>
        <w:rPr>
          <w:lang w:val="en-US"/>
        </w:rPr>
        <w:t xml:space="preserve"> </w:t>
      </w:r>
      <w:proofErr w:type="spellStart"/>
      <w:proofErr w:type="gramStart"/>
      <w:r>
        <w:rPr>
          <w:lang w:val="en-US"/>
        </w:rPr>
        <w:t>dans</w:t>
      </w:r>
      <w:proofErr w:type="spellEnd"/>
      <w:r w:rsidRPr="00EB3994">
        <w:rPr>
          <w:lang w:val="en-US"/>
        </w:rPr>
        <w:t xml:space="preserve"> </w:t>
      </w:r>
      <w:r>
        <w:rPr>
          <w:lang w:val="en-US"/>
        </w:rPr>
        <w:t>Chambers</w:t>
      </w:r>
      <w:r>
        <w:rPr>
          <w:lang w:val="en-US"/>
        </w:rPr>
        <w:t>.</w:t>
      </w:r>
      <w:proofErr w:type="gramEnd"/>
      <w:r>
        <w:rPr>
          <w:lang w:val="en-US"/>
        </w:rPr>
        <w:t xml:space="preserve"> </w:t>
      </w:r>
      <w:r w:rsidRPr="00582A73">
        <w:rPr>
          <w:i/>
          <w:lang w:val="en-US"/>
        </w:rPr>
        <w:t>The Oxford Companion to American Military History</w:t>
      </w:r>
      <w:r w:rsidRPr="00582A73">
        <w:rPr>
          <w:lang w:val="en-US"/>
        </w:rPr>
        <w:t xml:space="preserve">, 1999, p.347. </w:t>
      </w:r>
      <w:r w:rsidRPr="00582A73">
        <w:t xml:space="preserve">Acheson </w:t>
      </w:r>
      <w:r w:rsidRPr="00582A73">
        <w:t>y voyait</w:t>
      </w:r>
      <w:r w:rsidRPr="00582A73">
        <w:t xml:space="preserve"> le « second théâtre » de la politique américaine, avant l’Europe. </w:t>
      </w:r>
      <w:proofErr w:type="gramStart"/>
      <w:r w:rsidRPr="0000380C">
        <w:rPr>
          <w:i/>
          <w:lang w:val="en-US"/>
        </w:rPr>
        <w:t>Present at the Creation</w:t>
      </w:r>
      <w:r w:rsidRPr="0000380C">
        <w:rPr>
          <w:lang w:val="en-US"/>
        </w:rPr>
        <w:t>, 1969.</w:t>
      </w:r>
      <w:proofErr w:type="gramEnd"/>
      <w:r w:rsidRPr="0000380C">
        <w:rPr>
          <w:lang w:val="en-US"/>
        </w:rPr>
        <w:t xml:space="preserve"> </w:t>
      </w:r>
    </w:p>
  </w:footnote>
  <w:footnote w:id="6">
    <w:p w:rsidR="00582A73" w:rsidRPr="00D1468B" w:rsidRDefault="00582A73" w:rsidP="00582A73">
      <w:pPr>
        <w:pStyle w:val="FootnoteText"/>
        <w:rPr>
          <w:lang w:val="en-US"/>
        </w:rPr>
      </w:pPr>
      <w:r>
        <w:rPr>
          <w:rStyle w:val="FootnoteReference"/>
        </w:rPr>
        <w:footnoteRef/>
      </w:r>
      <w:r w:rsidRPr="00D1468B">
        <w:rPr>
          <w:lang w:val="en-US"/>
        </w:rPr>
        <w:t xml:space="preserve"> Clark, Joe. </w:t>
      </w:r>
      <w:r w:rsidRPr="00D1468B">
        <w:rPr>
          <w:i/>
          <w:lang w:val="en-US"/>
        </w:rPr>
        <w:t>How We Lead: Canada in a Century of Change</w:t>
      </w:r>
      <w:r w:rsidRPr="00D1468B">
        <w:rPr>
          <w:lang w:val="en-US"/>
        </w:rPr>
        <w:t>, 2014, p.51.</w:t>
      </w:r>
    </w:p>
  </w:footnote>
  <w:footnote w:id="7">
    <w:p w:rsidR="00582A73" w:rsidRPr="006D40B5" w:rsidRDefault="00582A73" w:rsidP="00582A73">
      <w:pPr>
        <w:pStyle w:val="FootnoteText"/>
        <w:jc w:val="both"/>
        <w:rPr>
          <w:lang w:val="en-US"/>
        </w:rPr>
      </w:pPr>
      <w:r>
        <w:rPr>
          <w:rStyle w:val="FootnoteReference"/>
        </w:rPr>
        <w:footnoteRef/>
      </w:r>
      <w:r w:rsidRPr="006D40B5">
        <w:rPr>
          <w:lang w:val="en-US"/>
        </w:rPr>
        <w:t xml:space="preserve"> </w:t>
      </w:r>
      <w:r>
        <w:rPr>
          <w:lang w:val="en-US"/>
        </w:rPr>
        <w:t xml:space="preserve">Choi, </w:t>
      </w:r>
      <w:proofErr w:type="spellStart"/>
      <w:r>
        <w:rPr>
          <w:lang w:val="en-US"/>
        </w:rPr>
        <w:t>Suhi</w:t>
      </w:r>
      <w:proofErr w:type="spellEnd"/>
      <w:r>
        <w:rPr>
          <w:lang w:val="en-US"/>
        </w:rPr>
        <w:t xml:space="preserve">. </w:t>
      </w:r>
      <w:proofErr w:type="gramStart"/>
      <w:r w:rsidRPr="006D40B5">
        <w:rPr>
          <w:i/>
          <w:lang w:val="en-US"/>
        </w:rPr>
        <w:t>Embattled Memories</w:t>
      </w:r>
      <w:r w:rsidRPr="006D40B5">
        <w:rPr>
          <w:lang w:val="en-US"/>
        </w:rPr>
        <w:t>, 2014.</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73"/>
    <w:rsid w:val="0020313F"/>
    <w:rsid w:val="00234502"/>
    <w:rsid w:val="00582A73"/>
    <w:rsid w:val="009553F9"/>
    <w:rsid w:val="00D07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2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A73"/>
    <w:rPr>
      <w:sz w:val="20"/>
      <w:szCs w:val="20"/>
    </w:rPr>
  </w:style>
  <w:style w:type="character" w:styleId="FootnoteReference">
    <w:name w:val="footnote reference"/>
    <w:basedOn w:val="DefaultParagraphFont"/>
    <w:uiPriority w:val="99"/>
    <w:semiHidden/>
    <w:unhideWhenUsed/>
    <w:rsid w:val="00582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2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A73"/>
    <w:rPr>
      <w:sz w:val="20"/>
      <w:szCs w:val="20"/>
    </w:rPr>
  </w:style>
  <w:style w:type="character" w:styleId="FootnoteReference">
    <w:name w:val="footnote reference"/>
    <w:basedOn w:val="DefaultParagraphFont"/>
    <w:uiPriority w:val="99"/>
    <w:semiHidden/>
    <w:unhideWhenUsed/>
    <w:rsid w:val="00582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IX-ACHT</dc:creator>
  <cp:lastModifiedBy>IX-ACHT</cp:lastModifiedBy>
  <cp:revision>1</cp:revision>
  <dcterms:created xsi:type="dcterms:W3CDTF">2015-09-14T21:03:00Z</dcterms:created>
  <dcterms:modified xsi:type="dcterms:W3CDTF">2015-09-14T21:19:00Z</dcterms:modified>
</cp:coreProperties>
</file>