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1840C" w14:textId="77777777" w:rsidR="00D64C2B" w:rsidRDefault="000C1834" w:rsidP="00D64C2B">
      <w:pPr>
        <w:spacing w:after="0" w:line="240" w:lineRule="auto"/>
        <w:jc w:val="both"/>
        <w:rPr>
          <w:rFonts w:ascii="Garamond" w:eastAsia="Cambria" w:hAnsi="Garamond"/>
          <w:color w:val="222222"/>
          <w:kern w:val="3"/>
          <w:sz w:val="24"/>
          <w:szCs w:val="24"/>
          <w:lang w:eastAsia="zh-CN" w:bidi="hi-IN"/>
        </w:rPr>
      </w:pPr>
      <w:r w:rsidRPr="00D64C2B">
        <w:rPr>
          <w:rFonts w:ascii="Garamond" w:eastAsia="Cambria" w:hAnsi="Garamond"/>
          <w:b/>
          <w:color w:val="222222"/>
          <w:kern w:val="3"/>
          <w:sz w:val="24"/>
          <w:szCs w:val="24"/>
          <w:lang w:eastAsia="zh-CN" w:bidi="hi-IN"/>
        </w:rPr>
        <w:t xml:space="preserve">« Aux origines de la fragilité des modes de développement Latino-Américains : la </w:t>
      </w:r>
      <w:r w:rsidR="00FC5E3F" w:rsidRPr="00D64C2B">
        <w:rPr>
          <w:rFonts w:ascii="Garamond" w:eastAsia="Cambria" w:hAnsi="Garamond"/>
          <w:b/>
          <w:color w:val="222222"/>
          <w:kern w:val="3"/>
          <w:sz w:val="24"/>
          <w:szCs w:val="24"/>
          <w:lang w:eastAsia="zh-CN" w:bidi="hi-IN"/>
        </w:rPr>
        <w:t xml:space="preserve">perte de la souveraineté monétaire </w:t>
      </w:r>
      <w:r w:rsidRPr="00D64C2B">
        <w:rPr>
          <w:rFonts w:ascii="Garamond" w:eastAsia="Cambria" w:hAnsi="Garamond"/>
          <w:b/>
          <w:color w:val="222222"/>
          <w:kern w:val="3"/>
          <w:sz w:val="24"/>
          <w:szCs w:val="24"/>
          <w:lang w:eastAsia="zh-CN" w:bidi="hi-IN"/>
        </w:rPr>
        <w:t>»</w:t>
      </w:r>
      <w:r w:rsidR="00D64C2B" w:rsidRPr="00D64C2B">
        <w:rPr>
          <w:rFonts w:ascii="Garamond" w:eastAsia="Cambria" w:hAnsi="Garamond"/>
          <w:color w:val="222222"/>
          <w:kern w:val="3"/>
          <w:sz w:val="24"/>
          <w:szCs w:val="24"/>
          <w:lang w:eastAsia="zh-CN" w:bidi="hi-IN"/>
        </w:rPr>
        <w:t xml:space="preserve">, </w:t>
      </w:r>
    </w:p>
    <w:p w14:paraId="57F981B7" w14:textId="3BC21B30" w:rsidR="000C1834" w:rsidRPr="00D64C2B" w:rsidRDefault="000C1834" w:rsidP="00D64C2B">
      <w:pPr>
        <w:spacing w:after="0" w:line="240" w:lineRule="auto"/>
        <w:jc w:val="both"/>
        <w:rPr>
          <w:rFonts w:ascii="Garamond" w:eastAsia="Cambria" w:hAnsi="Garamond"/>
          <w:color w:val="222222"/>
          <w:kern w:val="3"/>
          <w:sz w:val="24"/>
          <w:szCs w:val="24"/>
          <w:lang w:eastAsia="zh-CN" w:bidi="hi-IN"/>
        </w:rPr>
      </w:pPr>
      <w:r w:rsidRPr="00D64C2B">
        <w:rPr>
          <w:rFonts w:ascii="Garamond" w:eastAsia="Cambria" w:hAnsi="Garamond"/>
          <w:color w:val="222222"/>
          <w:kern w:val="3"/>
          <w:sz w:val="24"/>
          <w:szCs w:val="24"/>
          <w:lang w:eastAsia="zh-CN" w:bidi="hi-IN"/>
        </w:rPr>
        <w:t xml:space="preserve">Jaime </w:t>
      </w:r>
      <w:r w:rsidR="00F663F1" w:rsidRPr="00D64C2B">
        <w:rPr>
          <w:rFonts w:ascii="Garamond" w:eastAsia="Cambria" w:hAnsi="Garamond"/>
          <w:color w:val="222222"/>
          <w:kern w:val="3"/>
          <w:sz w:val="24"/>
          <w:szCs w:val="24"/>
          <w:lang w:eastAsia="zh-CN" w:bidi="hi-IN"/>
        </w:rPr>
        <w:t xml:space="preserve">MARQUES </w:t>
      </w:r>
      <w:r w:rsidRPr="00D64C2B">
        <w:rPr>
          <w:rFonts w:ascii="Garamond" w:eastAsia="Cambria" w:hAnsi="Garamond"/>
          <w:color w:val="222222"/>
          <w:kern w:val="3"/>
          <w:sz w:val="24"/>
          <w:szCs w:val="24"/>
          <w:lang w:eastAsia="zh-CN" w:bidi="hi-IN"/>
        </w:rPr>
        <w:t xml:space="preserve">PEREIRA, </w:t>
      </w:r>
      <w:r w:rsidR="00D64C2B">
        <w:rPr>
          <w:rFonts w:ascii="Garamond" w:eastAsia="Cambria" w:hAnsi="Garamond"/>
          <w:color w:val="222222"/>
          <w:kern w:val="3"/>
          <w:sz w:val="24"/>
          <w:szCs w:val="24"/>
          <w:lang w:eastAsia="zh-CN" w:bidi="hi-IN"/>
        </w:rPr>
        <w:t>CRIISEA/</w:t>
      </w:r>
      <w:r w:rsidRPr="00D64C2B">
        <w:rPr>
          <w:rFonts w:ascii="Garamond" w:eastAsia="Cambria" w:hAnsi="Garamond"/>
          <w:color w:val="222222"/>
          <w:kern w:val="3"/>
          <w:sz w:val="24"/>
          <w:szCs w:val="24"/>
          <w:lang w:eastAsia="zh-CN" w:bidi="hi-IN"/>
        </w:rPr>
        <w:t>Université de Picardie.</w:t>
      </w:r>
    </w:p>
    <w:p w14:paraId="19F23E99" w14:textId="77777777" w:rsidR="000C1834" w:rsidRPr="00D64C2B" w:rsidRDefault="000C1834" w:rsidP="00F663F1">
      <w:pPr>
        <w:spacing w:after="120" w:line="240" w:lineRule="auto"/>
        <w:ind w:left="709" w:firstLine="709"/>
        <w:jc w:val="both"/>
        <w:rPr>
          <w:rFonts w:ascii="Garamond" w:hAnsi="Garamond"/>
          <w:sz w:val="24"/>
          <w:szCs w:val="24"/>
        </w:rPr>
      </w:pPr>
    </w:p>
    <w:p w14:paraId="65A54862" w14:textId="4877718D" w:rsidR="00FC5E3F" w:rsidRPr="00D64C2B" w:rsidRDefault="00FC5E3F" w:rsidP="00D64C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4C2B">
        <w:rPr>
          <w:rFonts w:ascii="Garamond" w:hAnsi="Garamond"/>
          <w:sz w:val="24"/>
          <w:szCs w:val="24"/>
        </w:rPr>
        <w:t>Les conceptions dominantes</w:t>
      </w:r>
      <w:r w:rsidR="00464FD1" w:rsidRPr="00D64C2B">
        <w:rPr>
          <w:rFonts w:ascii="Garamond" w:hAnsi="Garamond"/>
          <w:sz w:val="24"/>
          <w:szCs w:val="24"/>
        </w:rPr>
        <w:t xml:space="preserve"> </w:t>
      </w:r>
      <w:r w:rsidRPr="00D64C2B">
        <w:rPr>
          <w:rFonts w:ascii="Garamond" w:hAnsi="Garamond"/>
          <w:sz w:val="24"/>
          <w:szCs w:val="24"/>
        </w:rPr>
        <w:t>du</w:t>
      </w:r>
      <w:r w:rsidR="000C1834" w:rsidRPr="00D64C2B">
        <w:rPr>
          <w:rFonts w:ascii="Garamond" w:hAnsi="Garamond"/>
          <w:sz w:val="24"/>
          <w:szCs w:val="24"/>
        </w:rPr>
        <w:t xml:space="preserve"> rôle de l’Etat</w:t>
      </w:r>
      <w:r w:rsidR="00464FD1" w:rsidRPr="00D64C2B">
        <w:rPr>
          <w:rFonts w:ascii="Garamond" w:hAnsi="Garamond"/>
          <w:sz w:val="24"/>
          <w:szCs w:val="24"/>
        </w:rPr>
        <w:t xml:space="preserve"> et </w:t>
      </w:r>
      <w:r w:rsidRPr="00D64C2B">
        <w:rPr>
          <w:rFonts w:ascii="Garamond" w:hAnsi="Garamond"/>
          <w:sz w:val="24"/>
          <w:szCs w:val="24"/>
        </w:rPr>
        <w:t>d</w:t>
      </w:r>
      <w:r w:rsidR="00464FD1" w:rsidRPr="00D64C2B">
        <w:rPr>
          <w:rFonts w:ascii="Garamond" w:hAnsi="Garamond"/>
          <w:sz w:val="24"/>
          <w:szCs w:val="24"/>
        </w:rPr>
        <w:t xml:space="preserve">es modes de développement possibles dans le contexte de la mondialisation </w:t>
      </w:r>
      <w:r w:rsidRPr="00D64C2B">
        <w:rPr>
          <w:rFonts w:ascii="Garamond" w:hAnsi="Garamond"/>
          <w:sz w:val="24"/>
          <w:szCs w:val="24"/>
        </w:rPr>
        <w:t>sont restées en Amérique latine largement</w:t>
      </w:r>
      <w:r w:rsidR="00F663F1" w:rsidRPr="00D64C2B">
        <w:rPr>
          <w:rFonts w:ascii="Garamond" w:hAnsi="Garamond"/>
          <w:sz w:val="24"/>
          <w:szCs w:val="24"/>
        </w:rPr>
        <w:t xml:space="preserve"> </w:t>
      </w:r>
      <w:r w:rsidRPr="00D64C2B">
        <w:rPr>
          <w:rFonts w:ascii="Garamond" w:hAnsi="Garamond"/>
          <w:sz w:val="24"/>
          <w:szCs w:val="24"/>
        </w:rPr>
        <w:t>conformes</w:t>
      </w:r>
      <w:r w:rsidR="00F663F1" w:rsidRPr="00D64C2B">
        <w:rPr>
          <w:rFonts w:ascii="Garamond" w:hAnsi="Garamond"/>
          <w:sz w:val="24"/>
          <w:szCs w:val="24"/>
        </w:rPr>
        <w:t xml:space="preserve"> aux </w:t>
      </w:r>
      <w:r w:rsidRPr="00D64C2B">
        <w:rPr>
          <w:rFonts w:ascii="Garamond" w:hAnsi="Garamond"/>
          <w:sz w:val="24"/>
          <w:szCs w:val="24"/>
        </w:rPr>
        <w:t>prescriptions</w:t>
      </w:r>
      <w:r w:rsidR="00F663F1" w:rsidRPr="00D64C2B">
        <w:rPr>
          <w:rFonts w:ascii="Garamond" w:hAnsi="Garamond"/>
          <w:sz w:val="24"/>
          <w:szCs w:val="24"/>
        </w:rPr>
        <w:t xml:space="preserve"> du consensus de Washington. </w:t>
      </w:r>
      <w:r w:rsidR="00D64C2B" w:rsidRPr="00D64C2B">
        <w:rPr>
          <w:rFonts w:ascii="Garamond" w:hAnsi="Garamond"/>
          <w:sz w:val="24"/>
          <w:szCs w:val="24"/>
        </w:rPr>
        <w:t>La possibilité d’une alternative n’est apparue qu’en Argentine et au Brésil, deux pays où</w:t>
      </w:r>
      <w:r w:rsidRPr="00D64C2B">
        <w:rPr>
          <w:rFonts w:ascii="Garamond" w:hAnsi="Garamond"/>
          <w:sz w:val="24"/>
          <w:szCs w:val="24"/>
        </w:rPr>
        <w:t xml:space="preserve"> la libéralisation a </w:t>
      </w:r>
      <w:r w:rsidR="00D64C2B" w:rsidRPr="00D64C2B">
        <w:rPr>
          <w:rFonts w:ascii="Garamond" w:hAnsi="Garamond"/>
          <w:sz w:val="24"/>
          <w:szCs w:val="24"/>
        </w:rPr>
        <w:t>remis en cause leur potentiel de développement industriel et a ainsi impliqué</w:t>
      </w:r>
      <w:r w:rsidRPr="00D64C2B">
        <w:rPr>
          <w:rFonts w:ascii="Garamond" w:hAnsi="Garamond"/>
          <w:sz w:val="24"/>
          <w:szCs w:val="24"/>
        </w:rPr>
        <w:t xml:space="preserve"> des déséquilibres externes </w:t>
      </w:r>
      <w:r w:rsidR="00D64C2B" w:rsidRPr="00D64C2B">
        <w:rPr>
          <w:rFonts w:ascii="Garamond" w:hAnsi="Garamond"/>
          <w:sz w:val="24"/>
          <w:szCs w:val="24"/>
        </w:rPr>
        <w:t>menant aux</w:t>
      </w:r>
      <w:r w:rsidRPr="00D64C2B">
        <w:rPr>
          <w:rFonts w:ascii="Garamond" w:hAnsi="Garamond"/>
          <w:sz w:val="24"/>
          <w:szCs w:val="24"/>
        </w:rPr>
        <w:t xml:space="preserve"> crises financières </w:t>
      </w:r>
      <w:r w:rsidR="00D64C2B">
        <w:rPr>
          <w:rFonts w:ascii="Garamond" w:hAnsi="Garamond"/>
          <w:sz w:val="24"/>
          <w:szCs w:val="24"/>
        </w:rPr>
        <w:t>a</w:t>
      </w:r>
      <w:r w:rsidRPr="00D64C2B">
        <w:rPr>
          <w:rFonts w:ascii="Garamond" w:hAnsi="Garamond"/>
          <w:sz w:val="24"/>
          <w:szCs w:val="24"/>
        </w:rPr>
        <w:t>u tournant du millénaire</w:t>
      </w:r>
      <w:r w:rsidRPr="00D64C2B">
        <w:rPr>
          <w:rFonts w:ascii="Garamond" w:hAnsi="Garamond"/>
          <w:sz w:val="24"/>
          <w:szCs w:val="24"/>
        </w:rPr>
        <w:t xml:space="preserve">. La réponse à ces crises a </w:t>
      </w:r>
      <w:r w:rsidR="00D64C2B" w:rsidRPr="00D64C2B">
        <w:rPr>
          <w:rFonts w:ascii="Garamond" w:hAnsi="Garamond"/>
          <w:sz w:val="24"/>
          <w:szCs w:val="24"/>
        </w:rPr>
        <w:t>engagé</w:t>
      </w:r>
      <w:r w:rsidRPr="00D64C2B">
        <w:rPr>
          <w:rFonts w:ascii="Garamond" w:hAnsi="Garamond"/>
          <w:sz w:val="24"/>
          <w:szCs w:val="24"/>
        </w:rPr>
        <w:t xml:space="preserve"> dans ces deux pays </w:t>
      </w:r>
      <w:r w:rsidR="00D64C2B" w:rsidRPr="00D64C2B">
        <w:rPr>
          <w:rFonts w:ascii="Garamond" w:hAnsi="Garamond"/>
          <w:sz w:val="24"/>
          <w:szCs w:val="24"/>
        </w:rPr>
        <w:t xml:space="preserve">des changements politiques interrogeant la possibilité de voir émerger des modes </w:t>
      </w:r>
      <w:r w:rsidRPr="00D64C2B">
        <w:rPr>
          <w:rFonts w:ascii="Garamond" w:hAnsi="Garamond"/>
          <w:sz w:val="24"/>
          <w:szCs w:val="24"/>
        </w:rPr>
        <w:t xml:space="preserve">de développement </w:t>
      </w:r>
      <w:r w:rsidR="00D64C2B" w:rsidRPr="00D64C2B">
        <w:rPr>
          <w:rFonts w:ascii="Garamond" w:hAnsi="Garamond"/>
          <w:sz w:val="24"/>
          <w:szCs w:val="24"/>
        </w:rPr>
        <w:t>en rupture avec le</w:t>
      </w:r>
      <w:r w:rsidRPr="00D64C2B">
        <w:rPr>
          <w:rFonts w:ascii="Garamond" w:hAnsi="Garamond"/>
          <w:sz w:val="24"/>
          <w:szCs w:val="24"/>
        </w:rPr>
        <w:t xml:space="preserve"> paradigme dominant</w:t>
      </w:r>
      <w:r w:rsidR="00F663F1" w:rsidRPr="00D64C2B">
        <w:rPr>
          <w:rFonts w:ascii="Garamond" w:hAnsi="Garamond"/>
          <w:sz w:val="24"/>
          <w:szCs w:val="24"/>
        </w:rPr>
        <w:t xml:space="preserve">. </w:t>
      </w:r>
      <w:r w:rsidRPr="00D64C2B">
        <w:rPr>
          <w:rFonts w:ascii="Garamond" w:hAnsi="Garamond"/>
          <w:sz w:val="24"/>
          <w:szCs w:val="24"/>
        </w:rPr>
        <w:t>Le fait le plus notable fut le pari d’une redistribution des revenus tirant la croissance. Ce pari semble aujourd’hui perdu. On montre dans c</w:t>
      </w:r>
      <w:r w:rsidRPr="00D64C2B">
        <w:rPr>
          <w:rFonts w:ascii="Garamond" w:hAnsi="Garamond"/>
          <w:sz w:val="24"/>
          <w:szCs w:val="24"/>
        </w:rPr>
        <w:t xml:space="preserve">ette communication </w:t>
      </w:r>
      <w:r w:rsidRPr="00D64C2B">
        <w:rPr>
          <w:rFonts w:ascii="Garamond" w:hAnsi="Garamond"/>
          <w:sz w:val="24"/>
          <w:szCs w:val="24"/>
        </w:rPr>
        <w:t>que cet échec est avant tout imputable à une incapacité gouvernementale de rétablir la souveraineté monétaire de l’Etat, ce dont atteste des régimes monétaires et financiers qui, au-delà de leurs différences, reproduisent la vulnérabilité financière de la croissance caractéristique de la région.</w:t>
      </w:r>
    </w:p>
    <w:p w14:paraId="57FAC124" w14:textId="33072B04" w:rsidR="00F663F1" w:rsidRPr="00D64C2B" w:rsidRDefault="00D64C2B" w:rsidP="00D64C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4C2B">
        <w:rPr>
          <w:rFonts w:ascii="Garamond" w:hAnsi="Garamond"/>
          <w:sz w:val="24"/>
          <w:szCs w:val="24"/>
        </w:rPr>
        <w:t>Gagner le pari qu’ont tenté l’Argentine et le Brésil supposait la possibilité d’un cercle vertueux entre croissance industrielle, élargissement de la demande domestique et gains de compétitivité</w:t>
      </w:r>
      <w:r w:rsidR="00A1173C" w:rsidRPr="00D64C2B">
        <w:rPr>
          <w:rFonts w:ascii="Garamond" w:hAnsi="Garamond"/>
          <w:sz w:val="24"/>
          <w:szCs w:val="24"/>
        </w:rPr>
        <w:t xml:space="preserve">. </w:t>
      </w:r>
      <w:r w:rsidRPr="00D64C2B">
        <w:rPr>
          <w:rFonts w:ascii="Garamond" w:hAnsi="Garamond"/>
          <w:sz w:val="24"/>
          <w:szCs w:val="24"/>
        </w:rPr>
        <w:t>A</w:t>
      </w:r>
      <w:r w:rsidRPr="00D64C2B">
        <w:rPr>
          <w:rFonts w:ascii="Garamond" w:hAnsi="Garamond"/>
          <w:sz w:val="24"/>
          <w:szCs w:val="24"/>
        </w:rPr>
        <w:t>u cours des années 2000</w:t>
      </w:r>
      <w:r w:rsidRPr="00D64C2B">
        <w:rPr>
          <w:rFonts w:ascii="Garamond" w:hAnsi="Garamond"/>
          <w:sz w:val="24"/>
          <w:szCs w:val="24"/>
        </w:rPr>
        <w:t>,</w:t>
      </w:r>
      <w:r w:rsidRPr="00D64C2B">
        <w:rPr>
          <w:rFonts w:ascii="Garamond" w:hAnsi="Garamond"/>
          <w:sz w:val="24"/>
          <w:szCs w:val="24"/>
        </w:rPr>
        <w:t xml:space="preserve"> </w:t>
      </w:r>
      <w:r w:rsidRPr="00D64C2B">
        <w:rPr>
          <w:rFonts w:ascii="Garamond" w:hAnsi="Garamond"/>
          <w:sz w:val="24"/>
          <w:szCs w:val="24"/>
        </w:rPr>
        <w:t>u</w:t>
      </w:r>
      <w:r w:rsidR="00A1173C" w:rsidRPr="00D64C2B">
        <w:rPr>
          <w:rFonts w:ascii="Garamond" w:hAnsi="Garamond"/>
          <w:sz w:val="24"/>
          <w:szCs w:val="24"/>
        </w:rPr>
        <w:t xml:space="preserve">n tel projet </w:t>
      </w:r>
      <w:r>
        <w:rPr>
          <w:rFonts w:ascii="Garamond" w:hAnsi="Garamond"/>
          <w:sz w:val="24"/>
          <w:szCs w:val="24"/>
        </w:rPr>
        <w:t>s’affirme dans le</w:t>
      </w:r>
      <w:r w:rsidRPr="00D64C2B">
        <w:rPr>
          <w:rFonts w:ascii="Garamond" w:hAnsi="Garamond"/>
          <w:sz w:val="24"/>
          <w:szCs w:val="24"/>
        </w:rPr>
        <w:t xml:space="preserve"> débat public sous l’appellation</w:t>
      </w:r>
      <w:r w:rsidR="00FC5E3F" w:rsidRPr="00D64C2B">
        <w:rPr>
          <w:rFonts w:ascii="Garamond" w:hAnsi="Garamond"/>
          <w:sz w:val="24"/>
          <w:szCs w:val="24"/>
        </w:rPr>
        <w:t xml:space="preserve"> d</w:t>
      </w:r>
      <w:r w:rsidRPr="00D64C2B">
        <w:rPr>
          <w:rFonts w:ascii="Garamond" w:hAnsi="Garamond"/>
          <w:sz w:val="24"/>
          <w:szCs w:val="24"/>
        </w:rPr>
        <w:t>e</w:t>
      </w:r>
      <w:r w:rsidR="00FC5E3F" w:rsidRPr="00D64C2B">
        <w:rPr>
          <w:rFonts w:ascii="Garamond" w:hAnsi="Garamond"/>
          <w:sz w:val="24"/>
          <w:szCs w:val="24"/>
        </w:rPr>
        <w:t xml:space="preserve"> modèle </w:t>
      </w:r>
      <w:r w:rsidR="000C611E" w:rsidRPr="00D64C2B">
        <w:rPr>
          <w:rFonts w:ascii="Garamond" w:hAnsi="Garamond"/>
          <w:sz w:val="24"/>
          <w:szCs w:val="24"/>
        </w:rPr>
        <w:t xml:space="preserve">néo-développementaliste </w:t>
      </w:r>
      <w:r w:rsidRPr="00D64C2B">
        <w:rPr>
          <w:rFonts w:ascii="Garamond" w:hAnsi="Garamond"/>
          <w:sz w:val="24"/>
          <w:szCs w:val="24"/>
        </w:rPr>
        <w:t>posant comme pilier</w:t>
      </w:r>
      <w:r w:rsidR="000C611E" w:rsidRPr="00D64C2B">
        <w:rPr>
          <w:rFonts w:ascii="Garamond" w:hAnsi="Garamond"/>
          <w:sz w:val="24"/>
          <w:szCs w:val="24"/>
        </w:rPr>
        <w:t xml:space="preserve"> le maintien d’un taux de change compétitif et donc l’évitement du recours à l’épargne externe.</w:t>
      </w:r>
      <w:r w:rsidRPr="00D64C2B">
        <w:rPr>
          <w:rFonts w:ascii="Garamond" w:hAnsi="Garamond"/>
          <w:sz w:val="24"/>
          <w:szCs w:val="24"/>
        </w:rPr>
        <w:t xml:space="preserve"> </w:t>
      </w:r>
      <w:r w:rsidR="00B33A57" w:rsidRPr="00D64C2B">
        <w:rPr>
          <w:rFonts w:ascii="Garamond" w:hAnsi="Garamond"/>
          <w:sz w:val="24"/>
          <w:szCs w:val="24"/>
        </w:rPr>
        <w:t>La politique économique</w:t>
      </w:r>
      <w:r w:rsidR="00FC5E3F" w:rsidRPr="00D64C2B">
        <w:rPr>
          <w:rFonts w:ascii="Garamond" w:hAnsi="Garamond"/>
          <w:sz w:val="24"/>
          <w:szCs w:val="24"/>
        </w:rPr>
        <w:t xml:space="preserve"> brésilienne</w:t>
      </w:r>
      <w:r w:rsidR="00B33A57" w:rsidRPr="00D64C2B">
        <w:rPr>
          <w:rFonts w:ascii="Garamond" w:hAnsi="Garamond"/>
          <w:sz w:val="24"/>
          <w:szCs w:val="24"/>
        </w:rPr>
        <w:t xml:space="preserve"> </w:t>
      </w:r>
      <w:r w:rsidR="00F663F1" w:rsidRPr="00D64C2B">
        <w:rPr>
          <w:rFonts w:ascii="Garamond" w:hAnsi="Garamond"/>
          <w:sz w:val="24"/>
          <w:szCs w:val="24"/>
        </w:rPr>
        <w:t>fut à l’opposé de telles mesures. Le régime monétaire a favorisé</w:t>
      </w:r>
      <w:r w:rsidR="00FC5E3F" w:rsidRPr="00D64C2B">
        <w:rPr>
          <w:rFonts w:ascii="Garamond" w:hAnsi="Garamond"/>
          <w:sz w:val="24"/>
          <w:szCs w:val="24"/>
        </w:rPr>
        <w:t xml:space="preserve"> </w:t>
      </w:r>
      <w:r w:rsidR="00F663F1" w:rsidRPr="00D64C2B">
        <w:rPr>
          <w:rFonts w:ascii="Garamond" w:hAnsi="Garamond"/>
          <w:sz w:val="24"/>
          <w:szCs w:val="24"/>
        </w:rPr>
        <w:t>l’appréciation de la monnaie et la financiarisation du capital mais</w:t>
      </w:r>
      <w:r w:rsidR="00B33A57" w:rsidRPr="00D64C2B">
        <w:rPr>
          <w:rFonts w:ascii="Garamond" w:hAnsi="Garamond"/>
          <w:sz w:val="24"/>
          <w:szCs w:val="24"/>
        </w:rPr>
        <w:t xml:space="preserve"> </w:t>
      </w:r>
      <w:r w:rsidR="00F663F1" w:rsidRPr="00D64C2B">
        <w:rPr>
          <w:rFonts w:ascii="Garamond" w:hAnsi="Garamond"/>
          <w:sz w:val="24"/>
          <w:szCs w:val="24"/>
        </w:rPr>
        <w:t>une</w:t>
      </w:r>
      <w:r w:rsidR="00B33A57" w:rsidRPr="00D64C2B">
        <w:rPr>
          <w:rFonts w:ascii="Garamond" w:hAnsi="Garamond"/>
          <w:sz w:val="24"/>
          <w:szCs w:val="24"/>
        </w:rPr>
        <w:t xml:space="preserve"> hausse significative des salaires</w:t>
      </w:r>
      <w:r w:rsidR="00F663F1" w:rsidRPr="00D64C2B">
        <w:rPr>
          <w:rFonts w:ascii="Garamond" w:hAnsi="Garamond"/>
          <w:sz w:val="24"/>
          <w:szCs w:val="24"/>
        </w:rPr>
        <w:t>, du crédit</w:t>
      </w:r>
      <w:r w:rsidR="00B33A57" w:rsidRPr="00D64C2B">
        <w:rPr>
          <w:rFonts w:ascii="Garamond" w:hAnsi="Garamond"/>
          <w:sz w:val="24"/>
          <w:szCs w:val="24"/>
        </w:rPr>
        <w:t xml:space="preserve"> et des dépenses publiques</w:t>
      </w:r>
      <w:r w:rsidR="00F663F1" w:rsidRPr="00D64C2B">
        <w:rPr>
          <w:rFonts w:ascii="Garamond" w:hAnsi="Garamond"/>
          <w:sz w:val="24"/>
          <w:szCs w:val="24"/>
        </w:rPr>
        <w:t xml:space="preserve"> a </w:t>
      </w:r>
      <w:r w:rsidR="00FC5E3F" w:rsidRPr="00D64C2B">
        <w:rPr>
          <w:rFonts w:ascii="Garamond" w:hAnsi="Garamond"/>
          <w:sz w:val="24"/>
          <w:szCs w:val="24"/>
        </w:rPr>
        <w:t xml:space="preserve">par ailleurs </w:t>
      </w:r>
      <w:r w:rsidR="00F663F1" w:rsidRPr="00D64C2B">
        <w:rPr>
          <w:rFonts w:ascii="Garamond" w:hAnsi="Garamond"/>
          <w:sz w:val="24"/>
          <w:szCs w:val="24"/>
        </w:rPr>
        <w:t>soutenu une forte expansion de la consommation domestique</w:t>
      </w:r>
      <w:r w:rsidR="00B33A57" w:rsidRPr="00D64C2B">
        <w:rPr>
          <w:rFonts w:ascii="Garamond" w:hAnsi="Garamond"/>
          <w:sz w:val="24"/>
          <w:szCs w:val="24"/>
        </w:rPr>
        <w:t xml:space="preserve">. La politique économique suivie par l’Argentine </w:t>
      </w:r>
      <w:r w:rsidRPr="00D64C2B">
        <w:rPr>
          <w:rFonts w:ascii="Garamond" w:hAnsi="Garamond"/>
          <w:sz w:val="24"/>
          <w:szCs w:val="24"/>
        </w:rPr>
        <w:t>fut plus proche</w:t>
      </w:r>
      <w:r w:rsidR="000C611E" w:rsidRPr="00D64C2B">
        <w:rPr>
          <w:rFonts w:ascii="Garamond" w:hAnsi="Garamond"/>
          <w:sz w:val="24"/>
          <w:szCs w:val="24"/>
        </w:rPr>
        <w:t xml:space="preserve"> </w:t>
      </w:r>
      <w:r w:rsidR="00F663F1" w:rsidRPr="00D64C2B">
        <w:rPr>
          <w:rFonts w:ascii="Garamond" w:hAnsi="Garamond"/>
          <w:sz w:val="24"/>
          <w:szCs w:val="24"/>
        </w:rPr>
        <w:t xml:space="preserve">du </w:t>
      </w:r>
      <w:r w:rsidR="000C611E" w:rsidRPr="00D64C2B">
        <w:rPr>
          <w:rFonts w:ascii="Garamond" w:hAnsi="Garamond"/>
          <w:sz w:val="24"/>
          <w:szCs w:val="24"/>
        </w:rPr>
        <w:t>modèle</w:t>
      </w:r>
      <w:r w:rsidR="00F663F1" w:rsidRPr="00D64C2B">
        <w:rPr>
          <w:rFonts w:ascii="Garamond" w:hAnsi="Garamond"/>
          <w:sz w:val="24"/>
          <w:szCs w:val="24"/>
        </w:rPr>
        <w:t xml:space="preserve"> néo-développementaliste</w:t>
      </w:r>
      <w:r w:rsidR="000C611E" w:rsidRPr="00D64C2B">
        <w:rPr>
          <w:rFonts w:ascii="Garamond" w:hAnsi="Garamond"/>
          <w:sz w:val="24"/>
          <w:szCs w:val="24"/>
        </w:rPr>
        <w:t>.</w:t>
      </w:r>
      <w:r w:rsidR="007C6B68" w:rsidRPr="00D64C2B">
        <w:rPr>
          <w:rFonts w:ascii="Garamond" w:hAnsi="Garamond"/>
          <w:sz w:val="24"/>
          <w:szCs w:val="24"/>
        </w:rPr>
        <w:t xml:space="preserve"> </w:t>
      </w:r>
    </w:p>
    <w:p w14:paraId="0324BFE8" w14:textId="6E1A2E59" w:rsidR="00D64C2B" w:rsidRDefault="00F663F1" w:rsidP="00D64C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4C2B">
        <w:rPr>
          <w:rFonts w:ascii="Garamond" w:hAnsi="Garamond"/>
          <w:sz w:val="24"/>
          <w:szCs w:val="24"/>
        </w:rPr>
        <w:t>Une économie politique comparée</w:t>
      </w:r>
      <w:r w:rsidR="001B1FE7" w:rsidRPr="00D64C2B">
        <w:rPr>
          <w:rFonts w:ascii="Garamond" w:hAnsi="Garamond"/>
          <w:sz w:val="24"/>
          <w:szCs w:val="24"/>
        </w:rPr>
        <w:t xml:space="preserve"> des deux pays est riche d’enseignement</w:t>
      </w:r>
      <w:r w:rsidR="00D64C2B" w:rsidRPr="00D64C2B">
        <w:rPr>
          <w:rFonts w:ascii="Garamond" w:hAnsi="Garamond"/>
          <w:sz w:val="24"/>
          <w:szCs w:val="24"/>
        </w:rPr>
        <w:t>s</w:t>
      </w:r>
      <w:r w:rsidR="001B1FE7" w:rsidRPr="00D64C2B">
        <w:rPr>
          <w:rFonts w:ascii="Garamond" w:hAnsi="Garamond"/>
          <w:sz w:val="24"/>
          <w:szCs w:val="24"/>
        </w:rPr>
        <w:t xml:space="preserve"> sur les obstacles à l’adoption </w:t>
      </w:r>
      <w:r w:rsidR="00FC5E3F" w:rsidRPr="00D64C2B">
        <w:rPr>
          <w:rFonts w:ascii="Garamond" w:hAnsi="Garamond"/>
          <w:sz w:val="24"/>
          <w:szCs w:val="24"/>
        </w:rPr>
        <w:t xml:space="preserve">au Brésil </w:t>
      </w:r>
      <w:r w:rsidR="001B1FE7" w:rsidRPr="00D64C2B">
        <w:rPr>
          <w:rFonts w:ascii="Garamond" w:hAnsi="Garamond"/>
          <w:sz w:val="24"/>
          <w:szCs w:val="24"/>
        </w:rPr>
        <w:t>d’un pilotage macroéconomique</w:t>
      </w:r>
      <w:r w:rsidRPr="00D64C2B">
        <w:rPr>
          <w:rFonts w:ascii="Garamond" w:hAnsi="Garamond"/>
          <w:sz w:val="24"/>
          <w:szCs w:val="24"/>
        </w:rPr>
        <w:t xml:space="preserve"> néo-développementaliste </w:t>
      </w:r>
      <w:r w:rsidR="001B1FE7" w:rsidRPr="00D64C2B">
        <w:rPr>
          <w:rFonts w:ascii="Garamond" w:hAnsi="Garamond"/>
          <w:sz w:val="24"/>
          <w:szCs w:val="24"/>
        </w:rPr>
        <w:t xml:space="preserve">et à </w:t>
      </w:r>
      <w:r w:rsidR="00FC5E3F" w:rsidRPr="00D64C2B">
        <w:rPr>
          <w:rFonts w:ascii="Garamond" w:hAnsi="Garamond"/>
          <w:sz w:val="24"/>
          <w:szCs w:val="24"/>
        </w:rPr>
        <w:t>ceux qui l’ont rendu erratique en Argentine</w:t>
      </w:r>
      <w:r w:rsidR="001B1FE7" w:rsidRPr="00D64C2B">
        <w:rPr>
          <w:rFonts w:ascii="Garamond" w:hAnsi="Garamond"/>
          <w:sz w:val="24"/>
          <w:szCs w:val="24"/>
        </w:rPr>
        <w:t xml:space="preserve">. </w:t>
      </w:r>
      <w:r w:rsidR="00FC5E3F" w:rsidRPr="00D64C2B">
        <w:rPr>
          <w:rFonts w:ascii="Garamond" w:hAnsi="Garamond"/>
          <w:sz w:val="24"/>
          <w:szCs w:val="24"/>
        </w:rPr>
        <w:t>Les uns et les autres renvoient à la</w:t>
      </w:r>
      <w:r w:rsidR="002F34A5" w:rsidRPr="00D64C2B">
        <w:rPr>
          <w:rFonts w:ascii="Garamond" w:hAnsi="Garamond"/>
          <w:sz w:val="24"/>
          <w:szCs w:val="24"/>
        </w:rPr>
        <w:t xml:space="preserve"> gestion du conflit distributif</w:t>
      </w:r>
      <w:r w:rsidR="00230FE1" w:rsidRPr="00D64C2B">
        <w:rPr>
          <w:rFonts w:ascii="Garamond" w:hAnsi="Garamond"/>
          <w:sz w:val="24"/>
          <w:szCs w:val="24"/>
        </w:rPr>
        <w:t xml:space="preserve">. On analyse </w:t>
      </w:r>
      <w:r w:rsidR="00FC5E3F" w:rsidRPr="00D64C2B">
        <w:rPr>
          <w:rFonts w:ascii="Garamond" w:hAnsi="Garamond"/>
          <w:sz w:val="24"/>
          <w:szCs w:val="24"/>
        </w:rPr>
        <w:t>cette gestion sur la base</w:t>
      </w:r>
      <w:r w:rsidR="00230FE1" w:rsidRPr="00D64C2B">
        <w:rPr>
          <w:rFonts w:ascii="Garamond" w:hAnsi="Garamond"/>
          <w:sz w:val="24"/>
          <w:szCs w:val="24"/>
        </w:rPr>
        <w:t xml:space="preserve"> d’une compréhension des régimes monétaires et financiers qui </w:t>
      </w:r>
      <w:r w:rsidRPr="00D64C2B">
        <w:rPr>
          <w:rFonts w:ascii="Garamond" w:hAnsi="Garamond"/>
          <w:sz w:val="24"/>
          <w:szCs w:val="24"/>
        </w:rPr>
        <w:t>considère</w:t>
      </w:r>
      <w:r w:rsidR="00230FE1" w:rsidRPr="00D64C2B">
        <w:rPr>
          <w:rFonts w:ascii="Garamond" w:hAnsi="Garamond"/>
          <w:sz w:val="24"/>
          <w:szCs w:val="24"/>
        </w:rPr>
        <w:t xml:space="preserve"> leurs effets macroéconomiques (attendus et effectifs) comme un résultat intentionnel d’un gouvernement des promesses de revenus au travers d’un encadrement institutionnel et cognitif de la for</w:t>
      </w:r>
      <w:r w:rsidR="00FC5E3F" w:rsidRPr="00D64C2B">
        <w:rPr>
          <w:rFonts w:ascii="Garamond" w:hAnsi="Garamond"/>
          <w:sz w:val="24"/>
          <w:szCs w:val="24"/>
        </w:rPr>
        <w:t>mation des anticipations. L’</w:t>
      </w:r>
      <w:r w:rsidR="00230FE1" w:rsidRPr="00D64C2B">
        <w:rPr>
          <w:rFonts w:ascii="Garamond" w:hAnsi="Garamond"/>
          <w:sz w:val="24"/>
          <w:szCs w:val="24"/>
        </w:rPr>
        <w:t xml:space="preserve">analyse </w:t>
      </w:r>
      <w:r w:rsidR="00FC5E3F" w:rsidRPr="00D64C2B">
        <w:rPr>
          <w:rFonts w:ascii="Garamond" w:hAnsi="Garamond"/>
          <w:sz w:val="24"/>
          <w:szCs w:val="24"/>
        </w:rPr>
        <w:t>de ce dispositif de gouvernement permet</w:t>
      </w:r>
      <w:r w:rsidR="00D64C2B" w:rsidRPr="00D64C2B">
        <w:rPr>
          <w:rFonts w:ascii="Garamond" w:hAnsi="Garamond"/>
          <w:sz w:val="24"/>
          <w:szCs w:val="24"/>
        </w:rPr>
        <w:t>,</w:t>
      </w:r>
      <w:r w:rsidR="00FC5E3F" w:rsidRPr="00D64C2B">
        <w:rPr>
          <w:rFonts w:ascii="Garamond" w:hAnsi="Garamond"/>
          <w:sz w:val="24"/>
          <w:szCs w:val="24"/>
        </w:rPr>
        <w:t xml:space="preserve"> </w:t>
      </w:r>
      <w:r w:rsidR="00D64C2B" w:rsidRPr="00D64C2B">
        <w:rPr>
          <w:rFonts w:ascii="Garamond" w:hAnsi="Garamond"/>
          <w:sz w:val="24"/>
          <w:szCs w:val="24"/>
        </w:rPr>
        <w:t xml:space="preserve">pour le cas du Brésil, </w:t>
      </w:r>
      <w:r w:rsidR="00D64C2B" w:rsidRPr="00D64C2B">
        <w:rPr>
          <w:rFonts w:ascii="Garamond" w:hAnsi="Garamond"/>
          <w:sz w:val="24"/>
          <w:szCs w:val="24"/>
        </w:rPr>
        <w:t xml:space="preserve">de préciser </w:t>
      </w:r>
      <w:r w:rsidR="00FC5E3F" w:rsidRPr="00D64C2B">
        <w:rPr>
          <w:rFonts w:ascii="Garamond" w:hAnsi="Garamond"/>
          <w:sz w:val="24"/>
          <w:szCs w:val="24"/>
        </w:rPr>
        <w:t xml:space="preserve">comment </w:t>
      </w:r>
      <w:r w:rsidR="00D64C2B" w:rsidRPr="00D64C2B">
        <w:rPr>
          <w:rFonts w:ascii="Garamond" w:hAnsi="Garamond"/>
          <w:sz w:val="24"/>
          <w:szCs w:val="24"/>
        </w:rPr>
        <w:t>s’est</w:t>
      </w:r>
      <w:r w:rsidR="00FC5E3F" w:rsidRPr="00D64C2B">
        <w:rPr>
          <w:rFonts w:ascii="Garamond" w:hAnsi="Garamond"/>
          <w:sz w:val="24"/>
          <w:szCs w:val="24"/>
        </w:rPr>
        <w:t xml:space="preserve"> imposé le choix de</w:t>
      </w:r>
      <w:r w:rsidRPr="00D64C2B">
        <w:rPr>
          <w:rFonts w:ascii="Garamond" w:hAnsi="Garamond"/>
          <w:sz w:val="24"/>
          <w:szCs w:val="24"/>
        </w:rPr>
        <w:t xml:space="preserve"> l’appréciation de la monnaie </w:t>
      </w:r>
      <w:r w:rsidR="00FC5E3F" w:rsidRPr="00D64C2B">
        <w:rPr>
          <w:rFonts w:ascii="Garamond" w:hAnsi="Garamond"/>
          <w:sz w:val="24"/>
          <w:szCs w:val="24"/>
        </w:rPr>
        <w:t xml:space="preserve">en faisant </w:t>
      </w:r>
      <w:r w:rsidR="00230FE1" w:rsidRPr="00D64C2B">
        <w:rPr>
          <w:rFonts w:ascii="Garamond" w:hAnsi="Garamond"/>
          <w:sz w:val="24"/>
          <w:szCs w:val="24"/>
        </w:rPr>
        <w:t xml:space="preserve">de la banque centrale </w:t>
      </w:r>
      <w:r w:rsidR="00FC5E3F" w:rsidRPr="00D64C2B">
        <w:rPr>
          <w:rFonts w:ascii="Garamond" w:hAnsi="Garamond"/>
          <w:sz w:val="24"/>
          <w:szCs w:val="24"/>
        </w:rPr>
        <w:t>l’instrument d’un verrouillage de</w:t>
      </w:r>
      <w:r w:rsidR="00230FE1" w:rsidRPr="00D64C2B">
        <w:rPr>
          <w:rFonts w:ascii="Garamond" w:hAnsi="Garamond"/>
          <w:sz w:val="24"/>
          <w:szCs w:val="24"/>
        </w:rPr>
        <w:t xml:space="preserve"> la </w:t>
      </w:r>
      <w:r w:rsidRPr="00D64C2B">
        <w:rPr>
          <w:rFonts w:ascii="Garamond" w:hAnsi="Garamond"/>
          <w:sz w:val="24"/>
          <w:szCs w:val="24"/>
        </w:rPr>
        <w:t>possibilité</w:t>
      </w:r>
      <w:r w:rsidR="00230FE1" w:rsidRPr="00D64C2B">
        <w:rPr>
          <w:rFonts w:ascii="Garamond" w:hAnsi="Garamond"/>
          <w:sz w:val="24"/>
          <w:szCs w:val="24"/>
        </w:rPr>
        <w:t xml:space="preserve"> </w:t>
      </w:r>
      <w:r w:rsidR="00FC5E3F" w:rsidRPr="00D64C2B">
        <w:rPr>
          <w:rFonts w:ascii="Garamond" w:hAnsi="Garamond"/>
          <w:sz w:val="24"/>
          <w:szCs w:val="24"/>
        </w:rPr>
        <w:t>d’une redéfinition du mode de développement</w:t>
      </w:r>
      <w:r w:rsidR="00D64C2B" w:rsidRPr="00D64C2B">
        <w:rPr>
          <w:rFonts w:ascii="Garamond" w:hAnsi="Garamond"/>
          <w:sz w:val="24"/>
          <w:szCs w:val="24"/>
        </w:rPr>
        <w:t>. En ce qui concerne l’Argentine, elle montre</w:t>
      </w:r>
      <w:r w:rsidR="00FC5E3F" w:rsidRPr="00D64C2B">
        <w:rPr>
          <w:rFonts w:ascii="Garamond" w:hAnsi="Garamond"/>
          <w:sz w:val="24"/>
          <w:szCs w:val="24"/>
        </w:rPr>
        <w:t xml:space="preserve"> </w:t>
      </w:r>
      <w:r w:rsidR="00D64C2B" w:rsidRPr="00D64C2B">
        <w:rPr>
          <w:rFonts w:ascii="Garamond" w:hAnsi="Garamond"/>
          <w:sz w:val="24"/>
          <w:szCs w:val="24"/>
        </w:rPr>
        <w:t xml:space="preserve">l’impasse du gouvernement des anticipations </w:t>
      </w:r>
      <w:r w:rsidR="00D64C2B">
        <w:rPr>
          <w:rFonts w:ascii="Garamond" w:hAnsi="Garamond"/>
          <w:sz w:val="24"/>
          <w:szCs w:val="24"/>
        </w:rPr>
        <w:t>dès lors qu’un</w:t>
      </w:r>
      <w:r w:rsidRPr="00D64C2B">
        <w:rPr>
          <w:rFonts w:ascii="Garamond" w:hAnsi="Garamond"/>
          <w:sz w:val="24"/>
          <w:szCs w:val="24"/>
        </w:rPr>
        <w:t xml:space="preserve"> </w:t>
      </w:r>
      <w:r w:rsidRPr="00D64C2B">
        <w:rPr>
          <w:rFonts w:ascii="Garamond" w:hAnsi="Garamond"/>
          <w:sz w:val="24"/>
          <w:szCs w:val="24"/>
        </w:rPr>
        <w:t xml:space="preserve">régime monétaire et financier </w:t>
      </w:r>
      <w:r w:rsidRPr="00D64C2B">
        <w:rPr>
          <w:rFonts w:ascii="Garamond" w:hAnsi="Garamond"/>
          <w:sz w:val="24"/>
          <w:szCs w:val="24"/>
        </w:rPr>
        <w:t xml:space="preserve">visant à </w:t>
      </w:r>
      <w:r w:rsidRPr="00D64C2B">
        <w:rPr>
          <w:rFonts w:ascii="Garamond" w:hAnsi="Garamond"/>
          <w:sz w:val="24"/>
          <w:szCs w:val="24"/>
        </w:rPr>
        <w:t>soutenir</w:t>
      </w:r>
      <w:r w:rsidRPr="00D64C2B">
        <w:rPr>
          <w:rFonts w:ascii="Garamond" w:hAnsi="Garamond"/>
          <w:sz w:val="24"/>
          <w:szCs w:val="24"/>
        </w:rPr>
        <w:t xml:space="preserve"> la compétitivité prix </w:t>
      </w:r>
      <w:r w:rsidR="00D64C2B" w:rsidRPr="00D64C2B">
        <w:rPr>
          <w:rFonts w:ascii="Garamond" w:hAnsi="Garamond"/>
          <w:sz w:val="24"/>
          <w:szCs w:val="24"/>
        </w:rPr>
        <w:t xml:space="preserve">doit </w:t>
      </w:r>
      <w:r w:rsidR="00D64C2B" w:rsidRPr="00D64C2B">
        <w:rPr>
          <w:rFonts w:ascii="Garamond" w:hAnsi="Garamond"/>
          <w:sz w:val="24"/>
          <w:szCs w:val="24"/>
        </w:rPr>
        <w:t>valide</w:t>
      </w:r>
      <w:r w:rsidR="00D64C2B" w:rsidRPr="00D64C2B">
        <w:rPr>
          <w:rFonts w:ascii="Garamond" w:hAnsi="Garamond"/>
          <w:sz w:val="24"/>
          <w:szCs w:val="24"/>
        </w:rPr>
        <w:t>r</w:t>
      </w:r>
      <w:r w:rsidR="00D64C2B" w:rsidRPr="00D64C2B">
        <w:rPr>
          <w:rFonts w:ascii="Garamond" w:hAnsi="Garamond"/>
          <w:sz w:val="24"/>
          <w:szCs w:val="24"/>
        </w:rPr>
        <w:t xml:space="preserve"> </w:t>
      </w:r>
      <w:r w:rsidR="00D64C2B" w:rsidRPr="00D64C2B">
        <w:rPr>
          <w:rFonts w:ascii="Garamond" w:hAnsi="Garamond"/>
          <w:sz w:val="24"/>
          <w:szCs w:val="24"/>
        </w:rPr>
        <w:t>la</w:t>
      </w:r>
      <w:r w:rsidR="00D64C2B" w:rsidRPr="00D64C2B">
        <w:rPr>
          <w:rFonts w:ascii="Garamond" w:hAnsi="Garamond"/>
          <w:sz w:val="24"/>
          <w:szCs w:val="24"/>
        </w:rPr>
        <w:t xml:space="preserve"> montée de l’inflation</w:t>
      </w:r>
      <w:r w:rsidR="00D64C2B" w:rsidRPr="00D64C2B">
        <w:rPr>
          <w:rFonts w:ascii="Garamond" w:hAnsi="Garamond"/>
          <w:sz w:val="24"/>
          <w:szCs w:val="24"/>
        </w:rPr>
        <w:t xml:space="preserve">. Celle-ci exprime le refus </w:t>
      </w:r>
      <w:r w:rsidR="00D64C2B" w:rsidRPr="00D64C2B">
        <w:rPr>
          <w:rFonts w:ascii="Garamond" w:hAnsi="Garamond"/>
          <w:sz w:val="24"/>
          <w:szCs w:val="24"/>
        </w:rPr>
        <w:t>des détenteurs de capitaux</w:t>
      </w:r>
      <w:r w:rsidR="00D64C2B" w:rsidRPr="00D64C2B">
        <w:rPr>
          <w:rFonts w:ascii="Garamond" w:hAnsi="Garamond"/>
          <w:sz w:val="24"/>
          <w:szCs w:val="24"/>
        </w:rPr>
        <w:t xml:space="preserve"> d’une unité de compte insuffisamment valorisée à leurs yeux. La banque centrale n’avait donc pas le pouvoir de maintenir un taux de change compétitif. </w:t>
      </w:r>
    </w:p>
    <w:p w14:paraId="39526275" w14:textId="56C37D21" w:rsidR="000C1834" w:rsidRPr="00D64C2B" w:rsidRDefault="00F663F1" w:rsidP="00D64C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4C2B">
        <w:rPr>
          <w:rFonts w:ascii="Garamond" w:hAnsi="Garamond"/>
          <w:sz w:val="24"/>
          <w:szCs w:val="24"/>
        </w:rPr>
        <w:t>D’un côté comme de l</w:t>
      </w:r>
      <w:r w:rsidR="00DA4D9C" w:rsidRPr="00D64C2B">
        <w:rPr>
          <w:rFonts w:ascii="Garamond" w:hAnsi="Garamond"/>
          <w:sz w:val="24"/>
          <w:szCs w:val="24"/>
        </w:rPr>
        <w:t>’autre</w:t>
      </w:r>
      <w:r w:rsidR="00D64C2B" w:rsidRPr="00D64C2B">
        <w:rPr>
          <w:rFonts w:ascii="Garamond" w:hAnsi="Garamond"/>
          <w:sz w:val="24"/>
          <w:szCs w:val="24"/>
        </w:rPr>
        <w:t>,</w:t>
      </w:r>
      <w:r w:rsidR="00DA4D9C" w:rsidRPr="00D64C2B">
        <w:rPr>
          <w:rFonts w:ascii="Garamond" w:hAnsi="Garamond"/>
          <w:sz w:val="24"/>
          <w:szCs w:val="24"/>
        </w:rPr>
        <w:t xml:space="preserve"> </w:t>
      </w:r>
      <w:r w:rsidRPr="00D64C2B">
        <w:rPr>
          <w:rFonts w:ascii="Garamond" w:hAnsi="Garamond"/>
          <w:sz w:val="24"/>
          <w:szCs w:val="24"/>
        </w:rPr>
        <w:t>l</w:t>
      </w:r>
      <w:r w:rsidR="008041D4" w:rsidRPr="00D64C2B">
        <w:rPr>
          <w:rFonts w:ascii="Garamond" w:hAnsi="Garamond"/>
          <w:sz w:val="24"/>
          <w:szCs w:val="24"/>
        </w:rPr>
        <w:t xml:space="preserve">es régimes monétaires et financiers </w:t>
      </w:r>
      <w:r w:rsidRPr="00D64C2B">
        <w:rPr>
          <w:rFonts w:ascii="Garamond" w:hAnsi="Garamond"/>
          <w:sz w:val="24"/>
          <w:szCs w:val="24"/>
        </w:rPr>
        <w:t xml:space="preserve">ont </w:t>
      </w:r>
      <w:r w:rsidR="00D64C2B" w:rsidRPr="00D64C2B">
        <w:rPr>
          <w:rFonts w:ascii="Garamond" w:hAnsi="Garamond"/>
          <w:sz w:val="24"/>
          <w:szCs w:val="24"/>
        </w:rPr>
        <w:t>fini par</w:t>
      </w:r>
      <w:r w:rsidRPr="00D64C2B">
        <w:rPr>
          <w:rFonts w:ascii="Garamond" w:hAnsi="Garamond"/>
          <w:sz w:val="24"/>
          <w:szCs w:val="24"/>
        </w:rPr>
        <w:t xml:space="preserve"> implique</w:t>
      </w:r>
      <w:r w:rsidR="00D64C2B" w:rsidRPr="00D64C2B">
        <w:rPr>
          <w:rFonts w:ascii="Garamond" w:hAnsi="Garamond"/>
          <w:sz w:val="24"/>
          <w:szCs w:val="24"/>
        </w:rPr>
        <w:t>r</w:t>
      </w:r>
      <w:r w:rsidRPr="00D64C2B">
        <w:rPr>
          <w:rFonts w:ascii="Garamond" w:hAnsi="Garamond"/>
          <w:sz w:val="24"/>
          <w:szCs w:val="24"/>
        </w:rPr>
        <w:t xml:space="preserve"> </w:t>
      </w:r>
      <w:r w:rsidR="00D64C2B" w:rsidRPr="00D64C2B">
        <w:rPr>
          <w:rFonts w:ascii="Garamond" w:hAnsi="Garamond"/>
          <w:sz w:val="24"/>
          <w:szCs w:val="24"/>
        </w:rPr>
        <w:t>une réduction drastique de l’</w:t>
      </w:r>
      <w:r w:rsidRPr="00D64C2B">
        <w:rPr>
          <w:rFonts w:ascii="Garamond" w:hAnsi="Garamond"/>
          <w:sz w:val="24"/>
          <w:szCs w:val="24"/>
        </w:rPr>
        <w:t>absorption interne pour préserver l’équilibre de la balance des paiements</w:t>
      </w:r>
      <w:r w:rsidR="00D64C2B" w:rsidRPr="00D64C2B">
        <w:rPr>
          <w:rFonts w:ascii="Garamond" w:hAnsi="Garamond"/>
          <w:sz w:val="24"/>
          <w:szCs w:val="24"/>
        </w:rPr>
        <w:t xml:space="preserve"> et donc </w:t>
      </w:r>
      <w:r w:rsidRPr="00D64C2B">
        <w:rPr>
          <w:rFonts w:ascii="Garamond" w:hAnsi="Garamond"/>
          <w:sz w:val="24"/>
          <w:szCs w:val="24"/>
        </w:rPr>
        <w:t>la valeur des créances qui en assurent le bouclage</w:t>
      </w:r>
      <w:r w:rsidR="00D64C2B" w:rsidRPr="00D64C2B">
        <w:rPr>
          <w:rFonts w:ascii="Garamond" w:hAnsi="Garamond"/>
          <w:sz w:val="24"/>
          <w:szCs w:val="24"/>
        </w:rPr>
        <w:t xml:space="preserve">. Cet impératif fait de </w:t>
      </w:r>
      <w:r w:rsidR="00D64C2B">
        <w:rPr>
          <w:rFonts w:ascii="Garamond" w:hAnsi="Garamond"/>
          <w:sz w:val="24"/>
          <w:szCs w:val="24"/>
        </w:rPr>
        <w:t>ce</w:t>
      </w:r>
      <w:bookmarkStart w:id="0" w:name="_GoBack"/>
      <w:bookmarkEnd w:id="0"/>
      <w:r w:rsidR="00D64C2B">
        <w:rPr>
          <w:rFonts w:ascii="Garamond" w:hAnsi="Garamond"/>
          <w:sz w:val="24"/>
          <w:szCs w:val="24"/>
        </w:rPr>
        <w:t>tte dépendance</w:t>
      </w:r>
      <w:r w:rsidR="00D64C2B" w:rsidRPr="00D64C2B">
        <w:rPr>
          <w:rFonts w:ascii="Garamond" w:hAnsi="Garamond"/>
          <w:sz w:val="24"/>
          <w:szCs w:val="24"/>
        </w:rPr>
        <w:t xml:space="preserve"> financière des régimes de croissance le signe d’une incapacité</w:t>
      </w:r>
      <w:r w:rsidRPr="00D64C2B">
        <w:rPr>
          <w:rFonts w:ascii="Garamond" w:hAnsi="Garamond"/>
          <w:sz w:val="24"/>
          <w:szCs w:val="24"/>
        </w:rPr>
        <w:t xml:space="preserve"> </w:t>
      </w:r>
      <w:r w:rsidR="00D64C2B" w:rsidRPr="00D64C2B">
        <w:rPr>
          <w:rFonts w:ascii="Garamond" w:hAnsi="Garamond"/>
          <w:sz w:val="24"/>
          <w:szCs w:val="24"/>
        </w:rPr>
        <w:t xml:space="preserve">de </w:t>
      </w:r>
      <w:r w:rsidRPr="00D64C2B">
        <w:rPr>
          <w:rFonts w:ascii="Garamond" w:hAnsi="Garamond"/>
          <w:sz w:val="24"/>
          <w:szCs w:val="24"/>
        </w:rPr>
        <w:t>l’</w:t>
      </w:r>
      <w:r w:rsidR="00FC5E3F" w:rsidRPr="00D64C2B">
        <w:rPr>
          <w:rFonts w:ascii="Garamond" w:hAnsi="Garamond"/>
          <w:sz w:val="24"/>
          <w:szCs w:val="24"/>
        </w:rPr>
        <w:t>Etat</w:t>
      </w:r>
      <w:r w:rsidR="00D64C2B" w:rsidRPr="00D64C2B">
        <w:rPr>
          <w:rFonts w:ascii="Garamond" w:hAnsi="Garamond"/>
          <w:sz w:val="24"/>
          <w:szCs w:val="24"/>
        </w:rPr>
        <w:t xml:space="preserve"> à définir la mesure des valeurs, autrement dit,</w:t>
      </w:r>
      <w:r w:rsidR="00FC5E3F" w:rsidRPr="00D64C2B">
        <w:rPr>
          <w:rFonts w:ascii="Garamond" w:hAnsi="Garamond"/>
          <w:sz w:val="24"/>
          <w:szCs w:val="24"/>
        </w:rPr>
        <w:t xml:space="preserve"> à exercer sa souveraineté monétaire</w:t>
      </w:r>
      <w:r w:rsidRPr="00D64C2B">
        <w:rPr>
          <w:rFonts w:ascii="Garamond" w:hAnsi="Garamond"/>
          <w:sz w:val="24"/>
          <w:szCs w:val="24"/>
        </w:rPr>
        <w:t xml:space="preserve">. </w:t>
      </w:r>
      <w:r w:rsidR="00D64C2B" w:rsidRPr="00D64C2B">
        <w:rPr>
          <w:rFonts w:ascii="Garamond" w:hAnsi="Garamond"/>
          <w:sz w:val="24"/>
          <w:szCs w:val="24"/>
        </w:rPr>
        <w:t>On peut faire l’hypothèse que cette</w:t>
      </w:r>
      <w:r w:rsidR="00FC5E3F" w:rsidRPr="00D64C2B">
        <w:rPr>
          <w:rFonts w:ascii="Garamond" w:hAnsi="Garamond"/>
          <w:sz w:val="24"/>
          <w:szCs w:val="24"/>
        </w:rPr>
        <w:t xml:space="preserve"> </w:t>
      </w:r>
      <w:r w:rsidR="00D64C2B" w:rsidRPr="00D64C2B">
        <w:rPr>
          <w:rFonts w:ascii="Garamond" w:hAnsi="Garamond"/>
          <w:sz w:val="24"/>
          <w:szCs w:val="24"/>
        </w:rPr>
        <w:t>conclusion</w:t>
      </w:r>
      <w:r w:rsidR="00FC5E3F" w:rsidRPr="00D64C2B">
        <w:rPr>
          <w:rFonts w:ascii="Garamond" w:hAnsi="Garamond"/>
          <w:sz w:val="24"/>
          <w:szCs w:val="24"/>
        </w:rPr>
        <w:t xml:space="preserve"> a une portée plus générale que pourrait confirmer une étude comparative plus large </w:t>
      </w:r>
      <w:r w:rsidR="00D64C2B">
        <w:rPr>
          <w:rFonts w:ascii="Garamond" w:hAnsi="Garamond"/>
          <w:sz w:val="24"/>
          <w:szCs w:val="24"/>
        </w:rPr>
        <w:t xml:space="preserve">qui </w:t>
      </w:r>
      <w:r w:rsidR="00D64C2B" w:rsidRPr="00D64C2B">
        <w:rPr>
          <w:rFonts w:ascii="Garamond" w:hAnsi="Garamond"/>
          <w:sz w:val="24"/>
          <w:szCs w:val="24"/>
        </w:rPr>
        <w:t>montre</w:t>
      </w:r>
      <w:r w:rsidR="00D64C2B">
        <w:rPr>
          <w:rFonts w:ascii="Garamond" w:hAnsi="Garamond"/>
          <w:sz w:val="24"/>
          <w:szCs w:val="24"/>
        </w:rPr>
        <w:t xml:space="preserve"> comment la</w:t>
      </w:r>
      <w:r w:rsidRPr="00D64C2B">
        <w:rPr>
          <w:rFonts w:ascii="Garamond" w:hAnsi="Garamond"/>
          <w:sz w:val="24"/>
          <w:szCs w:val="24"/>
        </w:rPr>
        <w:t xml:space="preserve"> fragilité </w:t>
      </w:r>
      <w:r w:rsidR="00FC5E3F" w:rsidRPr="00D64C2B">
        <w:rPr>
          <w:rFonts w:ascii="Garamond" w:hAnsi="Garamond"/>
          <w:sz w:val="24"/>
          <w:szCs w:val="24"/>
        </w:rPr>
        <w:t xml:space="preserve">financière </w:t>
      </w:r>
      <w:r w:rsidR="00D64C2B">
        <w:rPr>
          <w:rFonts w:ascii="Garamond" w:hAnsi="Garamond"/>
          <w:sz w:val="24"/>
          <w:szCs w:val="24"/>
        </w:rPr>
        <w:t>découle de la</w:t>
      </w:r>
      <w:r w:rsidR="00FC5E3F" w:rsidRPr="00D64C2B">
        <w:rPr>
          <w:rFonts w:ascii="Garamond" w:hAnsi="Garamond"/>
          <w:sz w:val="24"/>
          <w:szCs w:val="24"/>
        </w:rPr>
        <w:t xml:space="preserve"> </w:t>
      </w:r>
      <w:r w:rsidR="00D64C2B">
        <w:rPr>
          <w:rFonts w:ascii="Garamond" w:hAnsi="Garamond"/>
          <w:sz w:val="24"/>
          <w:szCs w:val="24"/>
        </w:rPr>
        <w:t>préservation de</w:t>
      </w:r>
      <w:r w:rsidR="00D64C2B" w:rsidRPr="00D64C2B">
        <w:rPr>
          <w:rFonts w:ascii="Garamond" w:hAnsi="Garamond"/>
          <w:sz w:val="24"/>
          <w:szCs w:val="24"/>
        </w:rPr>
        <w:t xml:space="preserve"> la valeur nominale des rentes dans les </w:t>
      </w:r>
      <w:r w:rsidRPr="00D64C2B">
        <w:rPr>
          <w:rFonts w:ascii="Garamond" w:hAnsi="Garamond"/>
          <w:sz w:val="24"/>
          <w:szCs w:val="24"/>
        </w:rPr>
        <w:t>économie</w:t>
      </w:r>
      <w:r w:rsidR="00D64C2B" w:rsidRPr="00D64C2B">
        <w:rPr>
          <w:rFonts w:ascii="Garamond" w:hAnsi="Garamond"/>
          <w:sz w:val="24"/>
          <w:szCs w:val="24"/>
        </w:rPr>
        <w:t>s</w:t>
      </w:r>
      <w:r w:rsidR="004646BB" w:rsidRPr="00D64C2B">
        <w:rPr>
          <w:rFonts w:ascii="Garamond" w:hAnsi="Garamond"/>
          <w:sz w:val="24"/>
          <w:szCs w:val="24"/>
        </w:rPr>
        <w:t xml:space="preserve"> basé</w:t>
      </w:r>
      <w:r w:rsidRPr="00D64C2B">
        <w:rPr>
          <w:rFonts w:ascii="Garamond" w:hAnsi="Garamond"/>
          <w:sz w:val="24"/>
          <w:szCs w:val="24"/>
        </w:rPr>
        <w:t>e</w:t>
      </w:r>
      <w:r w:rsidR="00D64C2B" w:rsidRPr="00D64C2B">
        <w:rPr>
          <w:rFonts w:ascii="Garamond" w:hAnsi="Garamond"/>
          <w:sz w:val="24"/>
          <w:szCs w:val="24"/>
        </w:rPr>
        <w:t>s</w:t>
      </w:r>
      <w:r w:rsidR="004646BB" w:rsidRPr="00D64C2B">
        <w:rPr>
          <w:rFonts w:ascii="Garamond" w:hAnsi="Garamond"/>
          <w:sz w:val="24"/>
          <w:szCs w:val="24"/>
        </w:rPr>
        <w:t xml:space="preserve"> sur l’exploitation des ressources naturelles</w:t>
      </w:r>
      <w:r w:rsidR="00FC5E3F" w:rsidRPr="00D64C2B">
        <w:rPr>
          <w:rFonts w:ascii="Garamond" w:hAnsi="Garamond"/>
          <w:sz w:val="24"/>
          <w:szCs w:val="24"/>
        </w:rPr>
        <w:t xml:space="preserve"> et/ou, e</w:t>
      </w:r>
      <w:r w:rsidRPr="00D64C2B">
        <w:rPr>
          <w:rFonts w:ascii="Garamond" w:hAnsi="Garamond"/>
          <w:sz w:val="24"/>
          <w:szCs w:val="24"/>
        </w:rPr>
        <w:t xml:space="preserve">n leur absence, </w:t>
      </w:r>
      <w:r w:rsidR="00D64C2B">
        <w:rPr>
          <w:rFonts w:ascii="Garamond" w:hAnsi="Garamond"/>
          <w:sz w:val="24"/>
          <w:szCs w:val="24"/>
        </w:rPr>
        <w:t>de celle</w:t>
      </w:r>
      <w:r w:rsidR="00D64C2B" w:rsidRPr="00D64C2B">
        <w:rPr>
          <w:rFonts w:ascii="Garamond" w:hAnsi="Garamond"/>
          <w:sz w:val="24"/>
          <w:szCs w:val="24"/>
        </w:rPr>
        <w:t xml:space="preserve"> du capital et de ses revenus dans les économies</w:t>
      </w:r>
      <w:r w:rsidR="004646BB" w:rsidRPr="00D64C2B">
        <w:rPr>
          <w:rFonts w:ascii="Garamond" w:hAnsi="Garamond"/>
          <w:sz w:val="24"/>
          <w:szCs w:val="24"/>
        </w:rPr>
        <w:t xml:space="preserve"> de sous-traitance industrielle. </w:t>
      </w:r>
      <w:r w:rsidR="005E7C88" w:rsidRPr="00D64C2B">
        <w:rPr>
          <w:rFonts w:ascii="Garamond" w:hAnsi="Garamond"/>
          <w:sz w:val="24"/>
          <w:szCs w:val="24"/>
        </w:rPr>
        <w:t xml:space="preserve"> </w:t>
      </w:r>
    </w:p>
    <w:sectPr w:rsidR="000C1834" w:rsidRPr="00D64C2B" w:rsidSect="00D708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34"/>
    <w:rsid w:val="000C1834"/>
    <w:rsid w:val="000C611E"/>
    <w:rsid w:val="000E7332"/>
    <w:rsid w:val="001779C5"/>
    <w:rsid w:val="00195DC2"/>
    <w:rsid w:val="001B1FE7"/>
    <w:rsid w:val="00230FE1"/>
    <w:rsid w:val="002F34A5"/>
    <w:rsid w:val="004646BB"/>
    <w:rsid w:val="00464FD1"/>
    <w:rsid w:val="005E7C88"/>
    <w:rsid w:val="006428D2"/>
    <w:rsid w:val="007C6B68"/>
    <w:rsid w:val="008041D4"/>
    <w:rsid w:val="00A1173C"/>
    <w:rsid w:val="00B33A57"/>
    <w:rsid w:val="00CC180F"/>
    <w:rsid w:val="00D64C2B"/>
    <w:rsid w:val="00D70826"/>
    <w:rsid w:val="00DA4D9C"/>
    <w:rsid w:val="00F663F1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4563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834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C1834"/>
    <w:pPr>
      <w:keepNext/>
      <w:keepLines/>
      <w:spacing w:before="200" w:after="0"/>
      <w:outlineLvl w:val="2"/>
    </w:pPr>
    <w:rPr>
      <w:rFonts w:ascii="Garamond" w:eastAsia="Times New Roman" w:hAnsi="Garamond"/>
      <w:b/>
      <w:bCs/>
      <w:i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C1834"/>
    <w:rPr>
      <w:rFonts w:ascii="Garamond" w:eastAsia="Times New Roman" w:hAnsi="Garamond" w:cs="Times New Roman"/>
      <w:b/>
      <w:bCs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667</Words>
  <Characters>3671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III.3 – Les conceptions de l’Etat et du développement Asie versus Amérique Latin</vt:lpstr>
    </vt:vector>
  </TitlesOfParts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2</cp:revision>
  <dcterms:created xsi:type="dcterms:W3CDTF">2016-04-12T09:30:00Z</dcterms:created>
  <dcterms:modified xsi:type="dcterms:W3CDTF">2016-04-12T09:30:00Z</dcterms:modified>
</cp:coreProperties>
</file>